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306CA">
      <w:pPr>
        <w:spacing w:before="156" w:beforeLines="50" w:after="156" w:afterLines="50" w:line="600" w:lineRule="exact"/>
        <w:jc w:val="center"/>
        <w:rPr>
          <w:rFonts w:ascii="Times New Roman" w:hAnsi="Times New Roman" w:eastAsia="华文中宋" w:cs="Times New Roman"/>
          <w:b/>
          <w:sz w:val="44"/>
          <w:szCs w:val="32"/>
        </w:rPr>
      </w:pPr>
      <w:r>
        <w:rPr>
          <w:rFonts w:hint="eastAsia" w:ascii="Times New Roman" w:hAnsi="Times New Roman" w:eastAsia="华文中宋" w:cs="Times New Roman"/>
          <w:b/>
          <w:sz w:val="44"/>
          <w:szCs w:val="32"/>
        </w:rPr>
        <w:t>均一生物可降解颗粒新功能创制及其作为底盘的工程疫苗构筑</w:t>
      </w:r>
    </w:p>
    <w:p w14:paraId="0F4746B7">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（基础研究奖）</w:t>
      </w:r>
    </w:p>
    <w:p w14:paraId="426DCEBC">
      <w:pPr>
        <w:spacing w:line="480" w:lineRule="exact"/>
        <w:ind w:left="-199" w:leftChars="-95" w:right="-313" w:rightChars="-149" w:firstLine="0" w:firstLineChars="0"/>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w:t>
      </w:r>
      <w:bookmarkStart w:id="0" w:name="OLE_LINK1"/>
      <w:r>
        <w:rPr>
          <w:rFonts w:hint="eastAsia" w:ascii="Times New Roman" w:hAnsi="Times New Roman" w:eastAsia="楷体" w:cs="Times New Roman"/>
          <w:b/>
          <w:sz w:val="36"/>
          <w:szCs w:val="32"/>
        </w:rPr>
        <w:t>推荐专家：张锁江、应汉杰、唐佩福、杨超、马丁</w:t>
      </w:r>
      <w:bookmarkEnd w:id="0"/>
      <w:r>
        <w:rPr>
          <w:rFonts w:hint="eastAsia" w:ascii="Times New Roman" w:hAnsi="Times New Roman" w:eastAsia="楷体" w:cs="Times New Roman"/>
          <w:b/>
          <w:sz w:val="36"/>
          <w:szCs w:val="32"/>
        </w:rPr>
        <w:t>）</w:t>
      </w:r>
    </w:p>
    <w:p w14:paraId="05E36A90">
      <w:pPr>
        <w:spacing w:before="156" w:beforeLines="50" w:line="560" w:lineRule="exact"/>
        <w:ind w:left="1112" w:leftChars="300" w:hanging="482" w:hangingChars="150"/>
        <w:rPr>
          <w:rFonts w:ascii="Times New Roman" w:hAnsi="Times New Roman" w:eastAsia="楷体" w:cs="Times New Roman"/>
          <w:b/>
          <w:sz w:val="32"/>
          <w:szCs w:val="32"/>
        </w:rPr>
      </w:pPr>
      <w:r>
        <w:rPr>
          <w:rFonts w:hint="eastAsia" w:ascii="Times New Roman" w:hAnsi="Times New Roman" w:eastAsia="楷体" w:cs="Times New Roman"/>
          <w:b/>
          <w:sz w:val="32"/>
          <w:szCs w:val="32"/>
        </w:rPr>
        <w:t>1.推荐意见（不超过300字）</w:t>
      </w:r>
    </w:p>
    <w:p w14:paraId="73E200F0">
      <w:pPr>
        <w:spacing w:before="156" w:beforeLines="50"/>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（1）专家姓名：张锁江</w:t>
      </w:r>
    </w:p>
    <w:p w14:paraId="404AF5BE">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工作单位：河南大学</w:t>
      </w:r>
    </w:p>
    <w:p w14:paraId="16C24BEC">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推荐意见：该项目针对传统颗粒制造中粒径不均一、功能单一的局限，从过程原理出发，创建两步次序膜乳化新过程，阐明均一液滴形成与调控规律，实现生物可降解颗粒的均一可控制备与新功能创制，为颗粒制造提供了原创性理论与方法。</w:t>
      </w:r>
    </w:p>
    <w:p w14:paraId="36E764AB">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更为重要的是，团队将过程创新与生物功能设计相贯通，提出以结构功能化颗粒为底盘构筑仿生工程疫苗，发现多种免疫增效机制，形成从材料与界面设计、颗粒结构调控到免疫应答的系统研究体系，体现了化学工程从机理到过程、从过程到功能的学科价值。</w:t>
      </w:r>
    </w:p>
    <w:p w14:paraId="660DB5FB">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在过程所担任所长期间，我见证了团队协力攻关、取得原创突破的历程。该成果开拓了过程工程服务生命健康的新方向，具有突出的学科带动作用和国际学术影响。</w:t>
      </w:r>
    </w:p>
    <w:p w14:paraId="370B516D">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特此推荐。</w:t>
      </w:r>
    </w:p>
    <w:p w14:paraId="4C140661">
      <w:pPr>
        <w:spacing w:before="156" w:beforeLines="50"/>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（2）专家姓名：应汉杰</w:t>
      </w:r>
    </w:p>
    <w:p w14:paraId="3745A6F5">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工作单位：复旦大学</w:t>
      </w:r>
    </w:p>
    <w:p w14:paraId="0622D82E">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推荐意见：医药化工创新既需要基础研究的原创突破，也需要制备过程与制剂开发的协同推进。该项目创建均一颗粒制备新过程，发现并创制多种新功能的生物可降解颗粒，为生物制剂的性能调控提供了新的材料基础与制备方法。</w:t>
      </w:r>
    </w:p>
    <w:p w14:paraId="01CC01A8">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在此基础上，团队提出以功能颗粒为底盘构筑仿生工程疫苗的新思想，揭示增强细胞免疫与黏膜免疫的新机制，创制嵌合外泌体、干粉肺吸入等新型疫苗，为不同免疫需求下的疫苗设计提供了共性理论与方法。</w:t>
      </w:r>
    </w:p>
    <w:p w14:paraId="0A682C34">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作为生物药制备与递送全国重点实验室学术委员会委员，我见证了该方向由基础探索走向疫苗创新。这些发现为我国自主佐剂与新型疫苗发展提供了重要理论基础和原始创新路径，充分体现了医药化工贯通材料制备与制剂功能设计的独特价值。</w:t>
      </w:r>
    </w:p>
    <w:p w14:paraId="597473C6">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特此推荐。</w:t>
      </w:r>
    </w:p>
    <w:p w14:paraId="2AFA26E3">
      <w:pPr>
        <w:spacing w:before="156" w:beforeLines="50"/>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（3）专家姓名：唐佩福</w:t>
      </w:r>
    </w:p>
    <w:p w14:paraId="59B289C3">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工作单位：中国人民解放军总医院</w:t>
      </w:r>
    </w:p>
    <w:p w14:paraId="315BD9A1">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推荐意见：生物医用材料的创新发展是提升疾病防治效能、满足重大临床需求的重要基础。该项目创建两步次序膜乳化新过程，实现生物可降解颗粒的均一可控制备，为保障制剂质量一致性、赋予颗粒崭新功能、推进临床转化提供关键核心技术支撑。</w:t>
      </w:r>
    </w:p>
    <w:p w14:paraId="2BB8BC86">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团队以结构功能化颗粒为底盘构筑仿生工程疫苗，发展嵌合外泌体疫苗、肺部干粉吸入疫苗等，为恶性肿瘤治疗和呼吸道传染病防护提供新思路，展现原创材料向新型免疫干预方案转化的潜力。</w:t>
      </w:r>
    </w:p>
    <w:p w14:paraId="69251BA5">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我欣喜地看到团队在发表Nature、Cell等高水平论文的同时，还获得4项临床试验批件，并推动4项IIT临床研究。基础创新与临床转化并进，在生物材料领域尤为可贵，彰显了医工交叉研究服务重大疾病防治与生物医药自主创新的战略价值。</w:t>
      </w:r>
    </w:p>
    <w:p w14:paraId="4FA28745">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特此推荐。</w:t>
      </w:r>
    </w:p>
    <w:p w14:paraId="7D0B59DF">
      <w:pPr>
        <w:spacing w:before="156" w:beforeLines="50"/>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（4）专家姓名：杨超</w:t>
      </w:r>
    </w:p>
    <w:p w14:paraId="3B513853">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工作单位：中国科学院过程工程研究所</w:t>
      </w:r>
    </w:p>
    <w:p w14:paraId="73EAFF9D">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推荐意见：该项目从化工过程原理出发，创建两步次序膜乳化新过程并建立其理论基础，阐明均一液滴形成与调控规律，突破生物可降解颗粒均一制备与功能调控瓶颈，为生物医用颗粒的精准构筑提供原创性技术。</w:t>
      </w:r>
    </w:p>
    <w:p w14:paraId="7DCCFB61">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项目进一步将颗粒功能创制与免疫效应研究相结合，提出以功能颗粒为底盘构筑工程化疫苗的新思想，发现多种免疫增效机制。相关成果为自主疫苗佐剂体系发展提供了科学支撑，充分体现化学工程与生命科学交叉的原创价值及服务国家重大需求的战略意义。</w:t>
      </w:r>
    </w:p>
    <w:p w14:paraId="4FD98D79">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作为所长，我高度评价团队扎根基础研究的学术追求与原创贡献，也将推动研究所对这一方向的持续支持，进一步巩固团队在均一生物颗粒与工程化疫苗研究中的原创优势和国际学术引领地位。</w:t>
      </w:r>
    </w:p>
    <w:p w14:paraId="74E36FB6">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特此推荐。</w:t>
      </w:r>
    </w:p>
    <w:p w14:paraId="1E13B493">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 xml:space="preserve">（5）专家姓名：马丁 </w:t>
      </w:r>
    </w:p>
    <w:p w14:paraId="6EBABE21">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工作单位：北京大学</w:t>
      </w:r>
    </w:p>
    <w:p w14:paraId="554E1757">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推荐意见：</w:t>
      </w:r>
      <w:bookmarkStart w:id="1" w:name="OLE_LINK15"/>
      <w:r>
        <w:rPr>
          <w:rFonts w:hint="eastAsia" w:ascii="Times New Roman" w:hAnsi="Times New Roman" w:eastAsia="楷体" w:cs="Times New Roman"/>
          <w:sz w:val="32"/>
          <w:szCs w:val="32"/>
        </w:rPr>
        <w:t>该项目围绕生物可降解颗粒均一制备与功能创制的科学问题，创建两步次序膜乳化新过程并建立其理论基础，发现并创制多种颗粒新功能，为研究材料理化性质与生物学效应的关联提供了基础。</w:t>
      </w:r>
    </w:p>
    <w:p w14:paraId="3CFFA08A">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项目进一步提出以功能颗粒为底盘，与抗原共组装构筑工程化疫苗的新思想，将生物可降解颗粒结构设计与免疫功能调控相结合，发现多种免疫增效机制，创制肺部干粉吸入等新型疫苗，体现了从物质结构调控到生物功能创制的原创贡献。</w:t>
      </w:r>
    </w:p>
    <w:p w14:paraId="53B9CAF2">
      <w:pPr>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该成果深化了对功能颗粒构效关系的认识，将颗粒新功能发现与免疫增效机制研究相结合，为工程化疫苗的理性设计提供了理论基础和创新路径，体现了化学与生命科学交叉研究的原创价值，具有重要科学意义和国际影响。</w:t>
      </w:r>
    </w:p>
    <w:p w14:paraId="01B02128">
      <w:pPr>
        <w:ind w:firstLine="640" w:firstLineChars="200"/>
        <w:rPr>
          <w:rFonts w:hint="eastAsia" w:ascii="Times New Roman" w:hAnsi="Times New Roman" w:eastAsia="楷体" w:cs="Times New Roman"/>
          <w:sz w:val="32"/>
          <w:szCs w:val="32"/>
        </w:rPr>
      </w:pPr>
      <w:r>
        <w:rPr>
          <w:rFonts w:hint="eastAsia" w:ascii="Times New Roman" w:hAnsi="Times New Roman" w:eastAsia="楷体" w:cs="Times New Roman"/>
          <w:sz w:val="32"/>
          <w:szCs w:val="32"/>
        </w:rPr>
        <w:t>特此推荐。</w:t>
      </w:r>
      <w:bookmarkEnd w:id="1"/>
    </w:p>
    <w:p w14:paraId="23AA362C">
      <w:pPr>
        <w:ind w:firstLine="640" w:firstLineChars="200"/>
        <w:rPr>
          <w:rFonts w:hint="eastAsia" w:ascii="Times New Roman" w:hAnsi="Times New Roman" w:eastAsia="楷体" w:cs="Times New Roman"/>
          <w:sz w:val="32"/>
          <w:szCs w:val="32"/>
        </w:rPr>
      </w:pPr>
      <w:bookmarkStart w:id="9" w:name="_GoBack"/>
      <w:bookmarkEnd w:id="9"/>
    </w:p>
    <w:p w14:paraId="73DF02ED">
      <w:pPr>
        <w:spacing w:before="156" w:beforeLines="50" w:line="560" w:lineRule="exact"/>
        <w:ind w:left="1112" w:leftChars="300" w:hanging="482" w:hangingChars="150"/>
        <w:rPr>
          <w:rFonts w:ascii="Times New Roman" w:hAnsi="Times New Roman" w:eastAsia="楷体" w:cs="Times New Roman"/>
          <w:b/>
          <w:sz w:val="32"/>
          <w:szCs w:val="32"/>
        </w:rPr>
      </w:pPr>
      <w:r>
        <w:rPr>
          <w:rFonts w:hint="eastAsia" w:ascii="Times New Roman" w:hAnsi="Times New Roman" w:eastAsia="楷体" w:cs="Times New Roman"/>
          <w:b/>
          <w:sz w:val="32"/>
          <w:szCs w:val="32"/>
        </w:rPr>
        <w:t>2. 代表性论文专著列表</w:t>
      </w:r>
    </w:p>
    <w:tbl>
      <w:tblPr>
        <w:tblStyle w:val="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2069"/>
        <w:gridCol w:w="1474"/>
        <w:gridCol w:w="1953"/>
        <w:gridCol w:w="2243"/>
      </w:tblGrid>
      <w:tr w14:paraId="63F0FC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407" w:type="pct"/>
            <w:vAlign w:val="center"/>
          </w:tcPr>
          <w:p w14:paraId="6E835324">
            <w:pPr>
              <w:pStyle w:val="2"/>
              <w:adjustRightInd w:val="0"/>
              <w:spacing w:line="400" w:lineRule="exact"/>
              <w:ind w:firstLine="0" w:firstLineChars="0"/>
              <w:jc w:val="center"/>
              <w:outlineLvl w:val="1"/>
              <w:rPr>
                <w:rFonts w:ascii="Times New Roman" w:hAnsi="Times New Roman" w:cs="Times New Roman"/>
                <w:sz w:val="28"/>
                <w:szCs w:val="28"/>
              </w:rPr>
            </w:pPr>
            <w:r>
              <w:rPr>
                <w:rFonts w:ascii="Times New Roman" w:hAnsi="Times New Roman" w:cs="Times New Roman"/>
                <w:sz w:val="28"/>
                <w:szCs w:val="28"/>
              </w:rPr>
              <w:t>序号</w:t>
            </w:r>
          </w:p>
        </w:tc>
        <w:tc>
          <w:tcPr>
            <w:tcW w:w="1114" w:type="pct"/>
            <w:vAlign w:val="center"/>
          </w:tcPr>
          <w:p w14:paraId="73422B06">
            <w:pPr>
              <w:pStyle w:val="2"/>
              <w:adjustRightInd w:val="0"/>
              <w:spacing w:line="400" w:lineRule="exact"/>
              <w:ind w:firstLine="0" w:firstLineChars="0"/>
              <w:jc w:val="center"/>
              <w:outlineLvl w:val="1"/>
              <w:rPr>
                <w:rFonts w:ascii="Times New Roman" w:hAnsi="Times New Roman" w:cs="Times New Roman"/>
                <w:sz w:val="28"/>
                <w:szCs w:val="28"/>
              </w:rPr>
            </w:pPr>
            <w:r>
              <w:rPr>
                <w:rFonts w:ascii="Times New Roman" w:hAnsi="Times New Roman" w:cs="Times New Roman"/>
                <w:sz w:val="28"/>
                <w:szCs w:val="28"/>
              </w:rPr>
              <w:t>论文（专著）名称</w:t>
            </w:r>
          </w:p>
        </w:tc>
        <w:tc>
          <w:tcPr>
            <w:tcW w:w="794" w:type="pct"/>
            <w:vAlign w:val="center"/>
          </w:tcPr>
          <w:p w14:paraId="5B6350B9">
            <w:pPr>
              <w:pStyle w:val="14"/>
              <w:spacing w:line="400" w:lineRule="exact"/>
              <w:ind w:firstLine="0" w:firstLineChars="0"/>
              <w:jc w:val="center"/>
              <w:outlineLvl w:val="0"/>
              <w:rPr>
                <w:rFonts w:ascii="Times New Roman" w:hAnsi="Times New Roman" w:cs="Times New Roman"/>
                <w:bCs/>
                <w:sz w:val="28"/>
                <w:szCs w:val="28"/>
              </w:rPr>
            </w:pPr>
            <w:r>
              <w:rPr>
                <w:rFonts w:ascii="Times New Roman" w:hAnsi="Times New Roman" w:cs="Times New Roman"/>
                <w:sz w:val="28"/>
                <w:szCs w:val="28"/>
              </w:rPr>
              <w:t>刊名</w:t>
            </w:r>
          </w:p>
        </w:tc>
        <w:tc>
          <w:tcPr>
            <w:tcW w:w="1255" w:type="pct"/>
            <w:vAlign w:val="center"/>
          </w:tcPr>
          <w:p w14:paraId="23479CF4">
            <w:pPr>
              <w:pStyle w:val="2"/>
              <w:adjustRightInd w:val="0"/>
              <w:spacing w:line="400" w:lineRule="exact"/>
              <w:ind w:firstLine="0" w:firstLineChars="0"/>
              <w:jc w:val="center"/>
              <w:outlineLvl w:val="1"/>
              <w:rPr>
                <w:rFonts w:ascii="Times New Roman" w:hAnsi="Times New Roman" w:cs="Times New Roman"/>
                <w:sz w:val="28"/>
                <w:szCs w:val="28"/>
              </w:rPr>
            </w:pPr>
            <w:r>
              <w:rPr>
                <w:rFonts w:ascii="Times New Roman" w:hAnsi="Times New Roman" w:cs="Times New Roman"/>
                <w:sz w:val="28"/>
                <w:szCs w:val="28"/>
              </w:rPr>
              <w:t>年卷页码</w:t>
            </w:r>
          </w:p>
          <w:p w14:paraId="6EE5012D">
            <w:pPr>
              <w:pStyle w:val="2"/>
              <w:adjustRightInd w:val="0"/>
              <w:spacing w:line="400" w:lineRule="exact"/>
              <w:ind w:firstLine="0" w:firstLineChars="0"/>
              <w:jc w:val="center"/>
              <w:outlineLvl w:val="1"/>
              <w:rPr>
                <w:rFonts w:ascii="Times New Roman" w:hAnsi="Times New Roman" w:cs="Times New Roman"/>
                <w:sz w:val="28"/>
                <w:szCs w:val="28"/>
              </w:rPr>
            </w:pPr>
            <w:r>
              <w:rPr>
                <w:rFonts w:ascii="Times New Roman" w:hAnsi="Times New Roman" w:cs="Times New Roman"/>
                <w:sz w:val="28"/>
                <w:szCs w:val="28"/>
              </w:rPr>
              <w:t>（xx年xx卷xx页）</w:t>
            </w:r>
          </w:p>
        </w:tc>
        <w:tc>
          <w:tcPr>
            <w:tcW w:w="1431" w:type="pct"/>
            <w:vAlign w:val="center"/>
          </w:tcPr>
          <w:p w14:paraId="63925029">
            <w:pPr>
              <w:pStyle w:val="14"/>
              <w:spacing w:line="400" w:lineRule="exact"/>
              <w:ind w:firstLine="0" w:firstLineChars="0"/>
              <w:jc w:val="center"/>
              <w:outlineLvl w:val="0"/>
              <w:rPr>
                <w:rFonts w:ascii="Times New Roman" w:hAnsi="Times New Roman" w:cs="Times New Roman"/>
                <w:bCs/>
                <w:spacing w:val="-20"/>
                <w:sz w:val="28"/>
                <w:szCs w:val="28"/>
              </w:rPr>
            </w:pPr>
            <w:r>
              <w:rPr>
                <w:rFonts w:ascii="Times New Roman" w:hAnsi="Times New Roman" w:cs="Times New Roman"/>
                <w:bCs/>
                <w:spacing w:val="-20"/>
                <w:sz w:val="28"/>
                <w:szCs w:val="28"/>
              </w:rPr>
              <w:t>全部作者</w:t>
            </w:r>
          </w:p>
        </w:tc>
      </w:tr>
      <w:tr w14:paraId="1A71A1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07" w:type="pct"/>
            <w:vAlign w:val="center"/>
          </w:tcPr>
          <w:p w14:paraId="02A4CD0B">
            <w:pPr>
              <w:pStyle w:val="14"/>
              <w:spacing w:line="390" w:lineRule="exact"/>
              <w:ind w:firstLine="0" w:firstLineChars="0"/>
              <w:jc w:val="center"/>
              <w:outlineLvl w:val="0"/>
              <w:rPr>
                <w:rFonts w:ascii="Times New Roman" w:hAnsi="Times New Roman" w:eastAsia="宋体" w:cs="Times New Roman"/>
              </w:rPr>
            </w:pPr>
            <w:r>
              <w:rPr>
                <w:rFonts w:ascii="Times New Roman" w:hAnsi="Times New Roman" w:eastAsia="宋体" w:cs="Times New Roman"/>
              </w:rPr>
              <w:t>1</w:t>
            </w:r>
          </w:p>
        </w:tc>
        <w:tc>
          <w:tcPr>
            <w:tcW w:w="1114" w:type="pct"/>
            <w:vAlign w:val="center"/>
          </w:tcPr>
          <w:p w14:paraId="7E2E16C7">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Inhaled SARS-CoV-2 vaccine for single-dose dry powder aerosol immunization</w:t>
            </w:r>
          </w:p>
        </w:tc>
        <w:tc>
          <w:tcPr>
            <w:tcW w:w="794" w:type="pct"/>
            <w:vAlign w:val="center"/>
          </w:tcPr>
          <w:p w14:paraId="6C2DE2BA">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Nature</w:t>
            </w:r>
          </w:p>
        </w:tc>
        <w:tc>
          <w:tcPr>
            <w:tcW w:w="1255" w:type="pct"/>
            <w:vAlign w:val="center"/>
          </w:tcPr>
          <w:p w14:paraId="795955FB">
            <w:pPr>
              <w:pStyle w:val="14"/>
              <w:spacing w:line="390" w:lineRule="exact"/>
              <w:ind w:firstLine="0" w:firstLineChars="0"/>
              <w:jc w:val="center"/>
              <w:outlineLvl w:val="0"/>
              <w:rPr>
                <w:rFonts w:ascii="Times New Roman" w:hAnsi="Times New Roman" w:eastAsia="宋体" w:cs="Times New Roman"/>
              </w:rPr>
            </w:pPr>
            <w:bookmarkStart w:id="2" w:name="OLE_LINK94"/>
            <w:r>
              <w:rPr>
                <w:rFonts w:hint="eastAsia" w:ascii="Times New Roman" w:hAnsi="Times New Roman" w:eastAsia="宋体" w:cs="Times New Roman"/>
              </w:rPr>
              <w:t>2023年624卷630页</w:t>
            </w:r>
            <w:bookmarkEnd w:id="2"/>
          </w:p>
        </w:tc>
        <w:tc>
          <w:tcPr>
            <w:tcW w:w="1431" w:type="pct"/>
            <w:vAlign w:val="center"/>
          </w:tcPr>
          <w:p w14:paraId="043F2163">
            <w:pPr>
              <w:pStyle w:val="14"/>
              <w:spacing w:line="390" w:lineRule="exact"/>
              <w:ind w:firstLine="0" w:firstLineChars="0"/>
              <w:jc w:val="center"/>
              <w:outlineLvl w:val="0"/>
              <w:rPr>
                <w:rFonts w:ascii="Times New Roman" w:hAnsi="Times New Roman" w:eastAsia="宋体" w:cs="Times New Roman"/>
              </w:rPr>
            </w:pPr>
            <w:r>
              <w:rPr>
                <w:rFonts w:ascii="Times New Roman" w:hAnsi="Times New Roman" w:eastAsia="宋体" w:cs="Times New Roman"/>
              </w:rPr>
              <w:t>Tong Ye</w:t>
            </w:r>
            <w:r>
              <w:rPr>
                <w:rFonts w:ascii="Times New Roman" w:hAnsi="Times New Roman" w:eastAsia="宋体" w:cs="Times New Roman"/>
                <w:vertAlign w:val="superscript"/>
              </w:rPr>
              <w:t>#</w:t>
            </w:r>
            <w:r>
              <w:rPr>
                <w:rFonts w:ascii="Times New Roman" w:hAnsi="Times New Roman" w:eastAsia="宋体" w:cs="Times New Roman"/>
              </w:rPr>
              <w:t>, Zhouguang Jiao</w:t>
            </w:r>
            <w:r>
              <w:rPr>
                <w:rFonts w:ascii="Times New Roman" w:hAnsi="Times New Roman" w:eastAsia="宋体" w:cs="Times New Roman"/>
                <w:vertAlign w:val="superscript"/>
              </w:rPr>
              <w:t>#</w:t>
            </w:r>
            <w:r>
              <w:rPr>
                <w:rFonts w:ascii="Times New Roman" w:hAnsi="Times New Roman" w:eastAsia="宋体" w:cs="Times New Roman"/>
              </w:rPr>
              <w:t>, Xin Li</w:t>
            </w:r>
            <w:r>
              <w:rPr>
                <w:rFonts w:ascii="Times New Roman" w:hAnsi="Times New Roman" w:eastAsia="宋体" w:cs="Times New Roman"/>
                <w:vertAlign w:val="superscript"/>
              </w:rPr>
              <w:t>#</w:t>
            </w:r>
            <w:r>
              <w:rPr>
                <w:rFonts w:ascii="Times New Roman" w:hAnsi="Times New Roman" w:eastAsia="宋体" w:cs="Times New Roman"/>
              </w:rPr>
              <w:t>, Zhanlong He</w:t>
            </w:r>
            <w:r>
              <w:rPr>
                <w:rFonts w:ascii="Times New Roman" w:hAnsi="Times New Roman" w:eastAsia="宋体" w:cs="Times New Roman"/>
                <w:vertAlign w:val="superscript"/>
              </w:rPr>
              <w:t>#</w:t>
            </w:r>
            <w:r>
              <w:rPr>
                <w:rFonts w:ascii="Times New Roman" w:hAnsi="Times New Roman" w:eastAsia="宋体" w:cs="Times New Roman"/>
              </w:rPr>
              <w:t>, Yanyan Li, Fengmei Yang, Xin Zhao, Youchun Wang, Weijin Huang, Meng Qin, Yingmei Feng, Yefeng Qiu, Wenhui Yang, Lingfei Hu, Yaling Hu, Yu Zhai, Erqiang Wang, Di Yu, Shuang Wang, Hua Yue, Yishu Wang, Hengliang Wang*, Li Zhu*, Guanghui Ma</w:t>
            </w:r>
            <w:bookmarkStart w:id="3" w:name="OLE_LINK115"/>
            <w:r>
              <w:rPr>
                <w:rFonts w:ascii="Times New Roman" w:hAnsi="Times New Roman" w:eastAsia="宋体" w:cs="Times New Roman"/>
              </w:rPr>
              <w:t>*</w:t>
            </w:r>
            <w:bookmarkEnd w:id="3"/>
            <w:r>
              <w:rPr>
                <w:rFonts w:ascii="Times New Roman" w:hAnsi="Times New Roman" w:eastAsia="宋体" w:cs="Times New Roman"/>
              </w:rPr>
              <w:t>,</w:t>
            </w:r>
            <w:r>
              <w:rPr>
                <w:rFonts w:hint="eastAsia" w:ascii="Times New Roman" w:hAnsi="Times New Roman" w:eastAsia="宋体" w:cs="Times New Roman"/>
              </w:rPr>
              <w:t xml:space="preserve"> Wei Wei</w:t>
            </w:r>
            <w:r>
              <w:rPr>
                <w:rFonts w:ascii="Times New Roman" w:hAnsi="Times New Roman" w:eastAsia="宋体" w:cs="Times New Roman"/>
              </w:rPr>
              <w:t>*</w:t>
            </w:r>
          </w:p>
        </w:tc>
      </w:tr>
      <w:tr w14:paraId="012D7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07" w:type="pct"/>
            <w:vAlign w:val="center"/>
          </w:tcPr>
          <w:p w14:paraId="123E6276">
            <w:pPr>
              <w:pStyle w:val="14"/>
              <w:spacing w:line="390" w:lineRule="exact"/>
              <w:ind w:firstLine="0" w:firstLineChars="0"/>
              <w:jc w:val="center"/>
              <w:outlineLvl w:val="0"/>
              <w:rPr>
                <w:rFonts w:ascii="Times New Roman" w:hAnsi="Times New Roman" w:eastAsia="宋体" w:cs="Times New Roman"/>
              </w:rPr>
            </w:pPr>
            <w:r>
              <w:rPr>
                <w:rFonts w:ascii="Times New Roman" w:hAnsi="Times New Roman" w:eastAsia="宋体" w:cs="Times New Roman"/>
              </w:rPr>
              <w:t>2</w:t>
            </w:r>
          </w:p>
        </w:tc>
        <w:tc>
          <w:tcPr>
            <w:tcW w:w="1114" w:type="pct"/>
            <w:vAlign w:val="center"/>
          </w:tcPr>
          <w:p w14:paraId="5857B534">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Ferritin aggregation cell engager for CAR T avidity engineering against refractory leukemias</w:t>
            </w:r>
          </w:p>
        </w:tc>
        <w:tc>
          <w:tcPr>
            <w:tcW w:w="794" w:type="pct"/>
            <w:vAlign w:val="center"/>
          </w:tcPr>
          <w:p w14:paraId="114A0164">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Cell</w:t>
            </w:r>
          </w:p>
        </w:tc>
        <w:tc>
          <w:tcPr>
            <w:tcW w:w="1255" w:type="pct"/>
            <w:vAlign w:val="center"/>
          </w:tcPr>
          <w:p w14:paraId="0C054EF3">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2026年189卷1942页</w:t>
            </w:r>
          </w:p>
        </w:tc>
        <w:tc>
          <w:tcPr>
            <w:tcW w:w="1431" w:type="pct"/>
            <w:vAlign w:val="center"/>
          </w:tcPr>
          <w:p w14:paraId="3989E175">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Feng Li</w:t>
            </w:r>
            <w:r>
              <w:rPr>
                <w:rFonts w:hint="eastAsia" w:ascii="Times New Roman" w:hAnsi="Times New Roman" w:eastAsia="宋体" w:cs="Times New Roman"/>
                <w:vertAlign w:val="superscript"/>
              </w:rPr>
              <w:t>#</w:t>
            </w:r>
            <w:r>
              <w:rPr>
                <w:rFonts w:hint="eastAsia" w:ascii="Times New Roman" w:hAnsi="Times New Roman" w:eastAsia="宋体" w:cs="Times New Roman"/>
              </w:rPr>
              <w:t>, Yuxing Hu</w:t>
            </w:r>
            <w:r>
              <w:rPr>
                <w:rFonts w:hint="eastAsia" w:ascii="Times New Roman" w:hAnsi="Times New Roman" w:eastAsia="宋体" w:cs="Times New Roman"/>
                <w:vertAlign w:val="superscript"/>
              </w:rPr>
              <w:t>#</w:t>
            </w:r>
            <w:r>
              <w:rPr>
                <w:rFonts w:hint="eastAsia" w:ascii="Times New Roman" w:hAnsi="Times New Roman" w:eastAsia="宋体" w:cs="Times New Roman"/>
              </w:rPr>
              <w:t>, Yan Wang</w:t>
            </w:r>
            <w:r>
              <w:rPr>
                <w:rFonts w:hint="eastAsia" w:ascii="Times New Roman" w:hAnsi="Times New Roman" w:eastAsia="宋体" w:cs="Times New Roman"/>
                <w:vertAlign w:val="superscript"/>
              </w:rPr>
              <w:t>#</w:t>
            </w:r>
            <w:r>
              <w:rPr>
                <w:rFonts w:hint="eastAsia" w:ascii="Times New Roman" w:hAnsi="Times New Roman" w:eastAsia="宋体" w:cs="Times New Roman"/>
              </w:rPr>
              <w:t>, Xiao Zhang</w:t>
            </w:r>
            <w:r>
              <w:rPr>
                <w:rFonts w:hint="eastAsia" w:ascii="Times New Roman" w:hAnsi="Times New Roman" w:eastAsia="宋体" w:cs="Times New Roman"/>
                <w:vertAlign w:val="superscript"/>
              </w:rPr>
              <w:t>#</w:t>
            </w:r>
            <w:r>
              <w:rPr>
                <w:rFonts w:hint="eastAsia" w:ascii="Times New Roman" w:hAnsi="Times New Roman" w:eastAsia="宋体" w:cs="Times New Roman"/>
              </w:rPr>
              <w:t>, Shaowei Qiu</w:t>
            </w:r>
            <w:r>
              <w:rPr>
                <w:rFonts w:hint="eastAsia" w:ascii="Times New Roman" w:hAnsi="Times New Roman" w:eastAsia="宋体" w:cs="Times New Roman"/>
                <w:vertAlign w:val="superscript"/>
              </w:rPr>
              <w:t>#</w:t>
            </w:r>
            <w:r>
              <w:rPr>
                <w:rFonts w:hint="eastAsia" w:ascii="Times New Roman" w:hAnsi="Times New Roman" w:eastAsia="宋体" w:cs="Times New Roman"/>
              </w:rPr>
              <w:t>, Xiaoming Hu, Wenjing Wang, Shuang Wang, Peilin Guo, Cui Song, Huaiji Wang, Changhao He, Jie Sun, Di Yu, Shuhua Yi, Jun Wei, Feifan Liu, Caopei Zheng, Jianxiang Wang*, Yuhua Li*, Guanghui Ma*, Wei Wei*</w:t>
            </w:r>
          </w:p>
        </w:tc>
      </w:tr>
      <w:tr w14:paraId="7224E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07" w:type="pct"/>
            <w:vAlign w:val="center"/>
          </w:tcPr>
          <w:p w14:paraId="5876BB6F">
            <w:pPr>
              <w:pStyle w:val="14"/>
              <w:spacing w:line="390" w:lineRule="exact"/>
              <w:ind w:firstLine="0" w:firstLineChars="0"/>
              <w:jc w:val="center"/>
              <w:outlineLvl w:val="0"/>
              <w:rPr>
                <w:rFonts w:ascii="Times New Roman" w:hAnsi="Times New Roman" w:eastAsia="宋体" w:cs="Times New Roman"/>
              </w:rPr>
            </w:pPr>
            <w:r>
              <w:rPr>
                <w:rFonts w:ascii="Times New Roman" w:hAnsi="Times New Roman" w:eastAsia="宋体" w:cs="Times New Roman"/>
              </w:rPr>
              <w:t>3</w:t>
            </w:r>
          </w:p>
        </w:tc>
        <w:tc>
          <w:tcPr>
            <w:tcW w:w="1114" w:type="pct"/>
            <w:vAlign w:val="center"/>
          </w:tcPr>
          <w:p w14:paraId="686D0EA9">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Macrophage-tumor chimeric exosomes accumulate in lymph node and tumor to activate the immune response and the tumor microenvironment</w:t>
            </w:r>
          </w:p>
        </w:tc>
        <w:tc>
          <w:tcPr>
            <w:tcW w:w="794" w:type="pct"/>
            <w:vAlign w:val="center"/>
          </w:tcPr>
          <w:p w14:paraId="6AD88BBA">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Science Translational Medicine</w:t>
            </w:r>
          </w:p>
        </w:tc>
        <w:tc>
          <w:tcPr>
            <w:tcW w:w="1255" w:type="pct"/>
            <w:vAlign w:val="center"/>
          </w:tcPr>
          <w:p w14:paraId="2A3328BA">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2021年13卷</w:t>
            </w:r>
            <w:r>
              <w:rPr>
                <w:rFonts w:ascii="Times New Roman" w:hAnsi="Times New Roman" w:eastAsia="宋体" w:cs="Times New Roman"/>
              </w:rPr>
              <w:t>eabb6981</w:t>
            </w:r>
            <w:r>
              <w:rPr>
                <w:rFonts w:hint="eastAsia" w:ascii="Times New Roman" w:hAnsi="Times New Roman" w:eastAsia="宋体" w:cs="Times New Roman"/>
              </w:rPr>
              <w:t>号</w:t>
            </w:r>
          </w:p>
        </w:tc>
        <w:tc>
          <w:tcPr>
            <w:tcW w:w="1431" w:type="pct"/>
            <w:vAlign w:val="center"/>
          </w:tcPr>
          <w:p w14:paraId="5A4A0B1E">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Shuang Wang, Feng Li, Tong Ye, Jianghua Wang, Chengliang Lyu, Shuang Qing, Zhaowen Ding, Xiaoyong Gao, Rongrong Jia, Di Yu, Jun Ren, Wei Wei*, Guanghui Ma*</w:t>
            </w:r>
          </w:p>
        </w:tc>
      </w:tr>
      <w:tr w14:paraId="3EC33D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07" w:type="pct"/>
            <w:vAlign w:val="center"/>
          </w:tcPr>
          <w:p w14:paraId="641BBC92">
            <w:pPr>
              <w:pStyle w:val="14"/>
              <w:spacing w:line="390" w:lineRule="exact"/>
              <w:ind w:firstLine="0" w:firstLineChars="0"/>
              <w:jc w:val="center"/>
              <w:outlineLvl w:val="0"/>
              <w:rPr>
                <w:rFonts w:ascii="Times New Roman" w:hAnsi="Times New Roman" w:eastAsia="宋体" w:cs="Times New Roman"/>
              </w:rPr>
            </w:pPr>
            <w:r>
              <w:rPr>
                <w:rFonts w:ascii="Times New Roman" w:hAnsi="Times New Roman" w:eastAsia="宋体" w:cs="Times New Roman"/>
              </w:rPr>
              <w:t>4</w:t>
            </w:r>
          </w:p>
        </w:tc>
        <w:tc>
          <w:tcPr>
            <w:tcW w:w="1114" w:type="pct"/>
            <w:vAlign w:val="center"/>
          </w:tcPr>
          <w:p w14:paraId="6EECE6AC">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Exosome-loaded degradable polymeric microcapsules for the treatment of vitreoretinal diseases</w:t>
            </w:r>
          </w:p>
        </w:tc>
        <w:tc>
          <w:tcPr>
            <w:tcW w:w="794" w:type="pct"/>
            <w:vAlign w:val="center"/>
          </w:tcPr>
          <w:p w14:paraId="55F04EF3">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Nature Biomedical Engineering</w:t>
            </w:r>
          </w:p>
        </w:tc>
        <w:tc>
          <w:tcPr>
            <w:tcW w:w="1255" w:type="pct"/>
            <w:vAlign w:val="center"/>
          </w:tcPr>
          <w:p w14:paraId="7C0D98F9">
            <w:pPr>
              <w:pStyle w:val="14"/>
              <w:spacing w:line="390" w:lineRule="exact"/>
              <w:ind w:firstLine="0" w:firstLineChars="0"/>
              <w:jc w:val="center"/>
              <w:outlineLvl w:val="0"/>
              <w:rPr>
                <w:rFonts w:ascii="Times New Roman" w:hAnsi="Times New Roman" w:eastAsia="宋体" w:cs="Times New Roman"/>
              </w:rPr>
            </w:pPr>
            <w:bookmarkStart w:id="4" w:name="OLE_LINK95"/>
            <w:r>
              <w:rPr>
                <w:rFonts w:hint="eastAsia" w:ascii="Times New Roman" w:hAnsi="Times New Roman" w:eastAsia="宋体" w:cs="Times New Roman"/>
              </w:rPr>
              <w:t>2024年8卷1436页</w:t>
            </w:r>
            <w:bookmarkEnd w:id="4"/>
          </w:p>
        </w:tc>
        <w:tc>
          <w:tcPr>
            <w:tcW w:w="1431" w:type="pct"/>
            <w:vAlign w:val="center"/>
          </w:tcPr>
          <w:p w14:paraId="69818056">
            <w:pPr>
              <w:pStyle w:val="14"/>
              <w:spacing w:line="390" w:lineRule="exact"/>
              <w:ind w:firstLine="0" w:firstLineChars="0"/>
              <w:jc w:val="center"/>
              <w:outlineLvl w:val="0"/>
              <w:rPr>
                <w:rFonts w:ascii="Times New Roman" w:hAnsi="Times New Roman" w:eastAsia="宋体" w:cs="Times New Roman"/>
              </w:rPr>
            </w:pPr>
            <w:r>
              <w:rPr>
                <w:rFonts w:ascii="Times New Roman" w:hAnsi="Times New Roman" w:eastAsia="宋体" w:cs="Times New Roman"/>
              </w:rPr>
              <w:t>Han Bao</w:t>
            </w:r>
            <w:bookmarkStart w:id="5" w:name="OLE_LINK116"/>
            <w:r>
              <w:rPr>
                <w:rFonts w:ascii="Times New Roman" w:hAnsi="Times New Roman" w:eastAsia="宋体" w:cs="Times New Roman"/>
                <w:vertAlign w:val="superscript"/>
              </w:rPr>
              <w:t>#</w:t>
            </w:r>
            <w:bookmarkEnd w:id="5"/>
            <w:r>
              <w:rPr>
                <w:rFonts w:ascii="Times New Roman" w:hAnsi="Times New Roman" w:eastAsia="宋体" w:cs="Times New Roman"/>
              </w:rPr>
              <w:t>, Ying Tian</w:t>
            </w:r>
            <w:r>
              <w:rPr>
                <w:rFonts w:ascii="Times New Roman" w:hAnsi="Times New Roman" w:eastAsia="宋体" w:cs="Times New Roman"/>
                <w:vertAlign w:val="superscript"/>
              </w:rPr>
              <w:t>#</w:t>
            </w:r>
            <w:r>
              <w:rPr>
                <w:rFonts w:ascii="Times New Roman" w:hAnsi="Times New Roman" w:eastAsia="宋体" w:cs="Times New Roman"/>
              </w:rPr>
              <w:t>, Haixin Wang, Tong Ye, Shuang Wang, Jiawei Zhao, Yefeng Qiu, Jian Li, Chao Pan, Guanghui Ma*, Wei Wei*, Yong Tao*</w:t>
            </w:r>
          </w:p>
        </w:tc>
      </w:tr>
      <w:tr w14:paraId="5DA86D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07" w:type="pct"/>
            <w:vAlign w:val="center"/>
          </w:tcPr>
          <w:p w14:paraId="720BB0FC">
            <w:pPr>
              <w:pStyle w:val="14"/>
              <w:spacing w:line="390" w:lineRule="exact"/>
              <w:ind w:firstLine="0" w:firstLineChars="0"/>
              <w:jc w:val="center"/>
              <w:outlineLvl w:val="0"/>
              <w:rPr>
                <w:rFonts w:ascii="Times New Roman" w:hAnsi="Times New Roman" w:eastAsia="宋体" w:cs="Times New Roman"/>
              </w:rPr>
            </w:pPr>
            <w:r>
              <w:rPr>
                <w:rFonts w:ascii="Times New Roman" w:hAnsi="Times New Roman" w:eastAsia="宋体" w:cs="Times New Roman"/>
              </w:rPr>
              <w:t>5</w:t>
            </w:r>
          </w:p>
        </w:tc>
        <w:tc>
          <w:tcPr>
            <w:tcW w:w="1114" w:type="pct"/>
            <w:vAlign w:val="center"/>
          </w:tcPr>
          <w:p w14:paraId="42E200C9">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Inside-out assembly of viral antigens for the enhanced vaccination</w:t>
            </w:r>
          </w:p>
        </w:tc>
        <w:tc>
          <w:tcPr>
            <w:tcW w:w="794" w:type="pct"/>
            <w:vAlign w:val="center"/>
          </w:tcPr>
          <w:p w14:paraId="7D59549E">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Signal Transduction and Targeted Therapy</w:t>
            </w:r>
          </w:p>
        </w:tc>
        <w:tc>
          <w:tcPr>
            <w:tcW w:w="1255" w:type="pct"/>
            <w:vAlign w:val="center"/>
          </w:tcPr>
          <w:p w14:paraId="11FC7833">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2023年8卷189号</w:t>
            </w:r>
          </w:p>
        </w:tc>
        <w:tc>
          <w:tcPr>
            <w:tcW w:w="1431" w:type="pct"/>
            <w:vAlign w:val="center"/>
          </w:tcPr>
          <w:p w14:paraId="792D8C96">
            <w:pPr>
              <w:pStyle w:val="14"/>
              <w:spacing w:line="390" w:lineRule="exact"/>
              <w:ind w:firstLine="0" w:firstLineChars="0"/>
              <w:jc w:val="center"/>
              <w:outlineLvl w:val="0"/>
              <w:rPr>
                <w:rFonts w:ascii="Times New Roman" w:hAnsi="Times New Roman" w:eastAsia="宋体" w:cs="Times New Roman"/>
              </w:rPr>
            </w:pPr>
            <w:r>
              <w:rPr>
                <w:rFonts w:hint="eastAsia" w:ascii="Times New Roman" w:hAnsi="Times New Roman" w:eastAsia="宋体" w:cs="Times New Roman"/>
              </w:rPr>
              <w:t>Fengqiang Cao</w:t>
            </w:r>
            <w:r>
              <w:rPr>
                <w:rFonts w:ascii="Times New Roman" w:hAnsi="Times New Roman" w:eastAsia="宋体" w:cs="Times New Roman"/>
                <w:vertAlign w:val="superscript"/>
              </w:rPr>
              <w:t>#</w:t>
            </w:r>
            <w:r>
              <w:rPr>
                <w:rFonts w:hint="eastAsia" w:ascii="Times New Roman" w:hAnsi="Times New Roman" w:eastAsia="宋体" w:cs="Times New Roman"/>
              </w:rPr>
              <w:t>, Sha Peng</w:t>
            </w:r>
            <w:r>
              <w:rPr>
                <w:rFonts w:ascii="Times New Roman" w:hAnsi="Times New Roman" w:eastAsia="宋体" w:cs="Times New Roman"/>
                <w:vertAlign w:val="superscript"/>
              </w:rPr>
              <w:t>#</w:t>
            </w:r>
            <w:r>
              <w:rPr>
                <w:rFonts w:hint="eastAsia" w:ascii="Times New Roman" w:hAnsi="Times New Roman" w:eastAsia="宋体" w:cs="Times New Roman"/>
              </w:rPr>
              <w:t>, Yaling An</w:t>
            </w:r>
            <w:r>
              <w:rPr>
                <w:rFonts w:ascii="Times New Roman" w:hAnsi="Times New Roman" w:eastAsia="宋体" w:cs="Times New Roman"/>
                <w:vertAlign w:val="superscript"/>
              </w:rPr>
              <w:t>#</w:t>
            </w:r>
            <w:r>
              <w:rPr>
                <w:rFonts w:hint="eastAsia" w:ascii="Times New Roman" w:hAnsi="Times New Roman" w:eastAsia="宋体" w:cs="Times New Roman"/>
              </w:rPr>
              <w:t>, Kun Xu, Tianyi Zheng, Lianpan Dai, Kenji Ogino</w:t>
            </w:r>
            <w:r>
              <w:rPr>
                <w:rFonts w:ascii="Times New Roman" w:hAnsi="Times New Roman" w:eastAsia="宋体" w:cs="Times New Roman"/>
              </w:rPr>
              <w:t>*</w:t>
            </w:r>
            <w:r>
              <w:rPr>
                <w:rFonts w:hint="eastAsia" w:ascii="Times New Roman" w:hAnsi="Times New Roman" w:eastAsia="宋体" w:cs="Times New Roman"/>
              </w:rPr>
              <w:t>, To Ngai, Yufei Xia*, Guanghui Ma*</w:t>
            </w:r>
          </w:p>
        </w:tc>
      </w:tr>
    </w:tbl>
    <w:p w14:paraId="1264DB7E">
      <w:pPr>
        <w:spacing w:before="156" w:beforeLines="50" w:line="560" w:lineRule="exact"/>
        <w:ind w:left="1112" w:leftChars="300" w:hanging="482" w:hangingChars="150"/>
        <w:rPr>
          <w:rFonts w:ascii="Times New Roman" w:hAnsi="Times New Roman" w:eastAsia="楷体" w:cs="Times New Roman"/>
          <w:b/>
          <w:sz w:val="32"/>
          <w:szCs w:val="32"/>
        </w:rPr>
      </w:pPr>
      <w:r>
        <w:rPr>
          <w:rFonts w:hint="eastAsia" w:ascii="Times New Roman" w:hAnsi="Times New Roman" w:eastAsia="楷体" w:cs="Times New Roman"/>
          <w:b/>
          <w:sz w:val="32"/>
          <w:szCs w:val="32"/>
        </w:rPr>
        <w:t>3.其他知识产权和标准等列表</w:t>
      </w:r>
    </w:p>
    <w:tbl>
      <w:tblPr>
        <w:tblStyle w:val="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971"/>
        <w:gridCol w:w="2340"/>
        <w:gridCol w:w="2343"/>
        <w:gridCol w:w="1845"/>
      </w:tblGrid>
      <w:tr w14:paraId="5CC19E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tcBorders>
              <w:top w:val="single" w:color="auto" w:sz="8" w:space="0"/>
              <w:left w:val="single" w:color="auto" w:sz="8" w:space="0"/>
              <w:bottom w:val="single" w:color="auto" w:sz="4" w:space="0"/>
              <w:right w:val="single" w:color="auto" w:sz="4" w:space="0"/>
            </w:tcBorders>
            <w:vAlign w:val="center"/>
          </w:tcPr>
          <w:p w14:paraId="3F050CED">
            <w:pPr>
              <w:pStyle w:val="2"/>
              <w:adjustRightInd w:val="0"/>
              <w:spacing w:after="50" w:line="440" w:lineRule="exact"/>
              <w:ind w:firstLine="0" w:firstLineChars="0"/>
              <w:jc w:val="center"/>
              <w:outlineLvl w:val="1"/>
              <w:rPr>
                <w:rFonts w:ascii="Times New Roman" w:hAnsi="Times New Roman" w:cs="Times New Roman"/>
                <w:sz w:val="28"/>
                <w:szCs w:val="28"/>
              </w:rPr>
            </w:pPr>
            <w:r>
              <w:rPr>
                <w:rFonts w:ascii="Times New Roman" w:hAnsi="Times New Roman" w:cs="Times New Roman"/>
                <w:sz w:val="28"/>
                <w:szCs w:val="28"/>
              </w:rPr>
              <w:t>序号</w:t>
            </w:r>
          </w:p>
        </w:tc>
        <w:tc>
          <w:tcPr>
            <w:tcW w:w="586" w:type="pct"/>
            <w:tcBorders>
              <w:top w:val="single" w:color="auto" w:sz="8" w:space="0"/>
              <w:left w:val="single" w:color="auto" w:sz="4" w:space="0"/>
              <w:bottom w:val="single" w:color="auto" w:sz="4" w:space="0"/>
              <w:right w:val="single" w:color="auto" w:sz="4" w:space="0"/>
            </w:tcBorders>
            <w:vAlign w:val="center"/>
          </w:tcPr>
          <w:p w14:paraId="60074AE0">
            <w:pPr>
              <w:pStyle w:val="2"/>
              <w:adjustRightInd w:val="0"/>
              <w:spacing w:after="50" w:line="440" w:lineRule="exact"/>
              <w:ind w:firstLine="0" w:firstLineChars="0"/>
              <w:jc w:val="center"/>
              <w:outlineLvl w:val="1"/>
              <w:rPr>
                <w:rFonts w:ascii="Times New Roman" w:hAnsi="Times New Roman" w:cs="Times New Roman"/>
                <w:sz w:val="28"/>
                <w:szCs w:val="28"/>
              </w:rPr>
            </w:pPr>
            <w:r>
              <w:rPr>
                <w:rFonts w:ascii="Times New Roman" w:hAnsi="Times New Roman" w:cs="Times New Roman"/>
                <w:sz w:val="28"/>
                <w:szCs w:val="28"/>
              </w:rPr>
              <w:t>类型</w:t>
            </w:r>
          </w:p>
        </w:tc>
        <w:tc>
          <w:tcPr>
            <w:tcW w:w="1412" w:type="pct"/>
            <w:tcBorders>
              <w:top w:val="single" w:color="auto" w:sz="8" w:space="0"/>
              <w:left w:val="single" w:color="auto" w:sz="4" w:space="0"/>
              <w:bottom w:val="single" w:color="auto" w:sz="4" w:space="0"/>
              <w:right w:val="single" w:color="auto" w:sz="4" w:space="0"/>
            </w:tcBorders>
            <w:vAlign w:val="center"/>
          </w:tcPr>
          <w:p w14:paraId="38AEB2C8">
            <w:pPr>
              <w:pStyle w:val="14"/>
              <w:spacing w:line="390" w:lineRule="exact"/>
              <w:ind w:firstLine="0" w:firstLineChars="0"/>
              <w:jc w:val="center"/>
              <w:outlineLvl w:val="0"/>
              <w:rPr>
                <w:rFonts w:ascii="Times New Roman" w:hAnsi="Times New Roman" w:cs="Times New Roman"/>
                <w:bCs/>
                <w:sz w:val="28"/>
                <w:szCs w:val="28"/>
              </w:rPr>
            </w:pPr>
            <w:r>
              <w:rPr>
                <w:rFonts w:ascii="Times New Roman" w:hAnsi="Times New Roman" w:cs="Times New Roman"/>
                <w:bCs/>
                <w:sz w:val="28"/>
                <w:szCs w:val="28"/>
              </w:rPr>
              <w:t>名称</w:t>
            </w:r>
          </w:p>
        </w:tc>
        <w:tc>
          <w:tcPr>
            <w:tcW w:w="1414" w:type="pct"/>
            <w:tcBorders>
              <w:top w:val="single" w:color="auto" w:sz="8" w:space="0"/>
              <w:left w:val="single" w:color="auto" w:sz="4" w:space="0"/>
              <w:bottom w:val="single" w:color="auto" w:sz="4" w:space="0"/>
              <w:right w:val="single" w:color="auto" w:sz="4" w:space="0"/>
            </w:tcBorders>
            <w:vAlign w:val="center"/>
          </w:tcPr>
          <w:p w14:paraId="2D2C89F2">
            <w:pPr>
              <w:pStyle w:val="2"/>
              <w:adjustRightInd w:val="0"/>
              <w:spacing w:after="50" w:line="440" w:lineRule="exact"/>
              <w:ind w:firstLine="0" w:firstLineChars="0"/>
              <w:jc w:val="center"/>
              <w:outlineLvl w:val="1"/>
              <w:rPr>
                <w:rFonts w:ascii="Times New Roman" w:hAnsi="Times New Roman" w:cs="Times New Roman"/>
                <w:bCs/>
                <w:spacing w:val="-20"/>
                <w:sz w:val="28"/>
                <w:szCs w:val="28"/>
                <w:highlight w:val="yellow"/>
              </w:rPr>
            </w:pPr>
            <w:r>
              <w:rPr>
                <w:rFonts w:ascii="Times New Roman" w:hAnsi="Times New Roman" w:cs="Times New Roman"/>
                <w:sz w:val="28"/>
                <w:szCs w:val="28"/>
              </w:rPr>
              <w:t>著录信息</w:t>
            </w:r>
          </w:p>
        </w:tc>
        <w:tc>
          <w:tcPr>
            <w:tcW w:w="1113" w:type="pct"/>
            <w:tcBorders>
              <w:top w:val="single" w:color="auto" w:sz="8" w:space="0"/>
              <w:left w:val="single" w:color="auto" w:sz="4" w:space="0"/>
              <w:bottom w:val="single" w:color="auto" w:sz="4" w:space="0"/>
              <w:right w:val="single" w:color="auto" w:sz="8" w:space="0"/>
            </w:tcBorders>
            <w:vAlign w:val="center"/>
          </w:tcPr>
          <w:p w14:paraId="122C3A3A">
            <w:pPr>
              <w:pStyle w:val="14"/>
              <w:spacing w:line="390" w:lineRule="exact"/>
              <w:ind w:firstLine="0" w:firstLineChars="0"/>
              <w:jc w:val="center"/>
              <w:outlineLvl w:val="0"/>
              <w:rPr>
                <w:rFonts w:ascii="Times New Roman" w:hAnsi="Times New Roman" w:cs="Times New Roman"/>
                <w:bCs/>
                <w:spacing w:val="-20"/>
                <w:sz w:val="28"/>
                <w:szCs w:val="28"/>
              </w:rPr>
            </w:pPr>
            <w:r>
              <w:rPr>
                <w:rFonts w:ascii="Times New Roman" w:hAnsi="Times New Roman" w:cs="Times New Roman"/>
                <w:bCs/>
                <w:spacing w:val="-20"/>
                <w:sz w:val="28"/>
                <w:szCs w:val="28"/>
              </w:rPr>
              <w:t>全部完成人</w:t>
            </w:r>
          </w:p>
        </w:tc>
      </w:tr>
      <w:tr w14:paraId="73F38F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tcBorders>
              <w:top w:val="single" w:color="auto" w:sz="4" w:space="0"/>
              <w:left w:val="single" w:color="auto" w:sz="8" w:space="0"/>
              <w:bottom w:val="single" w:color="auto" w:sz="4" w:space="0"/>
              <w:right w:val="single" w:color="auto" w:sz="4" w:space="0"/>
            </w:tcBorders>
            <w:vAlign w:val="center"/>
          </w:tcPr>
          <w:p w14:paraId="2B399272">
            <w:pPr>
              <w:pStyle w:val="14"/>
              <w:adjustRightInd w:val="0"/>
              <w:snapToGrid w:val="0"/>
              <w:spacing w:line="240" w:lineRule="auto"/>
              <w:ind w:firstLine="0" w:firstLineChars="0"/>
              <w:jc w:val="center"/>
              <w:outlineLvl w:val="0"/>
              <w:rPr>
                <w:rFonts w:ascii="Times New Roman" w:hAnsi="Times New Roman" w:cs="Times New Roman"/>
                <w:szCs w:val="24"/>
              </w:rPr>
            </w:pPr>
            <w:r>
              <w:rPr>
                <w:rFonts w:ascii="Times New Roman" w:hAnsi="Times New Roman" w:cs="Times New Roman"/>
                <w:szCs w:val="24"/>
              </w:rPr>
              <w:t>1</w:t>
            </w:r>
          </w:p>
        </w:tc>
        <w:tc>
          <w:tcPr>
            <w:tcW w:w="586" w:type="pct"/>
            <w:tcBorders>
              <w:top w:val="single" w:color="auto" w:sz="4" w:space="0"/>
              <w:left w:val="single" w:color="auto" w:sz="4" w:space="0"/>
              <w:bottom w:val="single" w:color="auto" w:sz="4" w:space="0"/>
              <w:right w:val="single" w:color="auto" w:sz="4" w:space="0"/>
            </w:tcBorders>
            <w:vAlign w:val="center"/>
          </w:tcPr>
          <w:p w14:paraId="32D4FA67">
            <w:pPr>
              <w:pStyle w:val="14"/>
              <w:adjustRightInd w:val="0"/>
              <w:snapToGrid w:val="0"/>
              <w:spacing w:line="240" w:lineRule="auto"/>
              <w:ind w:firstLine="0" w:firstLineChars="0"/>
              <w:jc w:val="center"/>
              <w:outlineLvl w:val="0"/>
              <w:rPr>
                <w:rFonts w:ascii="Times New Roman" w:hAnsi="Times New Roman" w:cs="Times New Roman"/>
                <w:szCs w:val="24"/>
              </w:rPr>
            </w:pPr>
            <w:bookmarkStart w:id="6" w:name="OLE_LINK97"/>
            <w:r>
              <w:rPr>
                <w:rFonts w:hint="eastAsia" w:ascii="Times New Roman" w:hAnsi="Times New Roman" w:cs="Times New Roman"/>
                <w:szCs w:val="24"/>
              </w:rPr>
              <w:t>美国发明专利</w:t>
            </w:r>
            <w:bookmarkEnd w:id="6"/>
          </w:p>
        </w:tc>
        <w:tc>
          <w:tcPr>
            <w:tcW w:w="1412" w:type="pct"/>
            <w:tcBorders>
              <w:top w:val="single" w:color="auto" w:sz="4" w:space="0"/>
              <w:left w:val="single" w:color="auto" w:sz="4" w:space="0"/>
              <w:bottom w:val="single" w:color="auto" w:sz="4" w:space="0"/>
              <w:right w:val="single" w:color="auto" w:sz="4" w:space="0"/>
            </w:tcBorders>
            <w:vAlign w:val="center"/>
          </w:tcPr>
          <w:p w14:paraId="34BAB4C6">
            <w:pPr>
              <w:pStyle w:val="14"/>
              <w:adjustRightInd w:val="0"/>
              <w:snapToGrid w:val="0"/>
              <w:spacing w:line="240" w:lineRule="auto"/>
              <w:ind w:firstLine="0" w:firstLineChars="0"/>
              <w:jc w:val="center"/>
              <w:outlineLvl w:val="0"/>
              <w:rPr>
                <w:rFonts w:ascii="Times New Roman" w:hAnsi="Times New Roman" w:cs="Times New Roman"/>
                <w:szCs w:val="24"/>
              </w:rPr>
            </w:pPr>
            <w:r>
              <w:rPr>
                <w:rFonts w:ascii="Times New Roman" w:hAnsi="Times New Roman" w:cs="Times New Roman"/>
                <w:szCs w:val="24"/>
              </w:rPr>
              <w:t>Microcapsule-based vaccine</w:t>
            </w:r>
          </w:p>
        </w:tc>
        <w:tc>
          <w:tcPr>
            <w:tcW w:w="1414" w:type="pct"/>
            <w:tcBorders>
              <w:top w:val="single" w:color="auto" w:sz="4" w:space="0"/>
              <w:left w:val="single" w:color="auto" w:sz="4" w:space="0"/>
              <w:bottom w:val="single" w:color="auto" w:sz="4" w:space="0"/>
              <w:right w:val="single" w:color="auto" w:sz="4" w:space="0"/>
            </w:tcBorders>
            <w:vAlign w:val="center"/>
          </w:tcPr>
          <w:p w14:paraId="72A3D635">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美国授权号：US12397052B2</w:t>
            </w:r>
          </w:p>
        </w:tc>
        <w:tc>
          <w:tcPr>
            <w:tcW w:w="1113" w:type="pct"/>
            <w:tcBorders>
              <w:top w:val="single" w:color="auto" w:sz="4" w:space="0"/>
              <w:left w:val="single" w:color="auto" w:sz="4" w:space="0"/>
              <w:bottom w:val="single" w:color="auto" w:sz="4" w:space="0"/>
              <w:right w:val="single" w:color="auto" w:sz="8" w:space="0"/>
            </w:tcBorders>
            <w:vAlign w:val="center"/>
          </w:tcPr>
          <w:p w14:paraId="2C6CBF5D">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马光辉、魏炜、习晓博、叶通、那向明、卿爽</w:t>
            </w:r>
          </w:p>
        </w:tc>
      </w:tr>
      <w:tr w14:paraId="51362C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tcBorders>
              <w:top w:val="single" w:color="auto" w:sz="4" w:space="0"/>
              <w:left w:val="single" w:color="auto" w:sz="8" w:space="0"/>
              <w:bottom w:val="single" w:color="auto" w:sz="4" w:space="0"/>
              <w:right w:val="single" w:color="auto" w:sz="4" w:space="0"/>
            </w:tcBorders>
            <w:vAlign w:val="center"/>
          </w:tcPr>
          <w:p w14:paraId="3852B4A8">
            <w:pPr>
              <w:pStyle w:val="14"/>
              <w:adjustRightInd w:val="0"/>
              <w:snapToGrid w:val="0"/>
              <w:spacing w:line="240" w:lineRule="auto"/>
              <w:ind w:firstLine="0" w:firstLineChars="0"/>
              <w:jc w:val="center"/>
              <w:outlineLvl w:val="0"/>
              <w:rPr>
                <w:rFonts w:ascii="Times New Roman" w:hAnsi="Times New Roman" w:cs="Times New Roman"/>
                <w:szCs w:val="24"/>
              </w:rPr>
            </w:pPr>
            <w:r>
              <w:rPr>
                <w:rFonts w:ascii="Times New Roman" w:hAnsi="Times New Roman" w:cs="Times New Roman"/>
                <w:szCs w:val="24"/>
              </w:rPr>
              <w:t>2</w:t>
            </w:r>
          </w:p>
        </w:tc>
        <w:tc>
          <w:tcPr>
            <w:tcW w:w="586" w:type="pct"/>
            <w:tcBorders>
              <w:top w:val="single" w:color="auto" w:sz="4" w:space="0"/>
              <w:left w:val="single" w:color="auto" w:sz="4" w:space="0"/>
              <w:bottom w:val="single" w:color="auto" w:sz="4" w:space="0"/>
              <w:right w:val="single" w:color="auto" w:sz="4" w:space="0"/>
            </w:tcBorders>
            <w:vAlign w:val="center"/>
          </w:tcPr>
          <w:p w14:paraId="54CFB776">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日本发明专利</w:t>
            </w:r>
          </w:p>
        </w:tc>
        <w:tc>
          <w:tcPr>
            <w:tcW w:w="1412" w:type="pct"/>
            <w:tcBorders>
              <w:top w:val="single" w:color="auto" w:sz="4" w:space="0"/>
              <w:left w:val="single" w:color="auto" w:sz="4" w:space="0"/>
              <w:bottom w:val="single" w:color="auto" w:sz="4" w:space="0"/>
              <w:right w:val="single" w:color="auto" w:sz="4" w:space="0"/>
            </w:tcBorders>
            <w:vAlign w:val="center"/>
          </w:tcPr>
          <w:p w14:paraId="33986D86">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マイクロカプセルに基づくワクチン</w:t>
            </w:r>
          </w:p>
        </w:tc>
        <w:tc>
          <w:tcPr>
            <w:tcW w:w="1414" w:type="pct"/>
            <w:tcBorders>
              <w:top w:val="single" w:color="auto" w:sz="4" w:space="0"/>
              <w:left w:val="single" w:color="auto" w:sz="4" w:space="0"/>
              <w:bottom w:val="single" w:color="auto" w:sz="4" w:space="0"/>
              <w:right w:val="single" w:color="auto" w:sz="4" w:space="0"/>
            </w:tcBorders>
            <w:vAlign w:val="center"/>
          </w:tcPr>
          <w:p w14:paraId="171AD199">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日本授权号：JP7257500</w:t>
            </w:r>
          </w:p>
        </w:tc>
        <w:tc>
          <w:tcPr>
            <w:tcW w:w="1113" w:type="pct"/>
            <w:tcBorders>
              <w:top w:val="single" w:color="auto" w:sz="4" w:space="0"/>
              <w:left w:val="single" w:color="auto" w:sz="4" w:space="0"/>
              <w:bottom w:val="single" w:color="auto" w:sz="4" w:space="0"/>
              <w:right w:val="single" w:color="auto" w:sz="8" w:space="0"/>
            </w:tcBorders>
            <w:vAlign w:val="center"/>
          </w:tcPr>
          <w:p w14:paraId="0FA95A61">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马光辉、魏炜、习晓博、叶通、那向明、卿爽</w:t>
            </w:r>
          </w:p>
        </w:tc>
      </w:tr>
      <w:tr w14:paraId="0B954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tcBorders>
              <w:top w:val="single" w:color="auto" w:sz="4" w:space="0"/>
              <w:left w:val="single" w:color="auto" w:sz="8" w:space="0"/>
              <w:bottom w:val="single" w:color="auto" w:sz="4" w:space="0"/>
              <w:right w:val="single" w:color="auto" w:sz="4" w:space="0"/>
            </w:tcBorders>
            <w:vAlign w:val="center"/>
          </w:tcPr>
          <w:p w14:paraId="1E69B018">
            <w:pPr>
              <w:pStyle w:val="14"/>
              <w:adjustRightInd w:val="0"/>
              <w:snapToGrid w:val="0"/>
              <w:spacing w:line="240" w:lineRule="auto"/>
              <w:ind w:firstLine="0" w:firstLineChars="0"/>
              <w:jc w:val="center"/>
              <w:outlineLvl w:val="0"/>
              <w:rPr>
                <w:rFonts w:ascii="Times New Roman" w:hAnsi="Times New Roman" w:cs="Times New Roman"/>
                <w:szCs w:val="24"/>
              </w:rPr>
            </w:pPr>
            <w:r>
              <w:rPr>
                <w:rFonts w:ascii="Times New Roman" w:hAnsi="Times New Roman" w:cs="Times New Roman"/>
                <w:szCs w:val="24"/>
              </w:rPr>
              <w:t>3</w:t>
            </w:r>
          </w:p>
        </w:tc>
        <w:tc>
          <w:tcPr>
            <w:tcW w:w="586" w:type="pct"/>
            <w:tcBorders>
              <w:top w:val="single" w:color="auto" w:sz="4" w:space="0"/>
              <w:left w:val="single" w:color="auto" w:sz="4" w:space="0"/>
              <w:bottom w:val="single" w:color="auto" w:sz="4" w:space="0"/>
              <w:right w:val="single" w:color="auto" w:sz="4" w:space="0"/>
            </w:tcBorders>
            <w:vAlign w:val="center"/>
          </w:tcPr>
          <w:p w14:paraId="73184119">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中国发明专利</w:t>
            </w:r>
          </w:p>
        </w:tc>
        <w:tc>
          <w:tcPr>
            <w:tcW w:w="1412" w:type="pct"/>
            <w:tcBorders>
              <w:top w:val="single" w:color="auto" w:sz="4" w:space="0"/>
              <w:left w:val="single" w:color="auto" w:sz="4" w:space="0"/>
              <w:bottom w:val="single" w:color="auto" w:sz="4" w:space="0"/>
              <w:right w:val="single" w:color="auto" w:sz="4" w:space="0"/>
            </w:tcBorders>
            <w:vAlign w:val="center"/>
          </w:tcPr>
          <w:p w14:paraId="0C632E61">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一种基于微囊的疫苗</w:t>
            </w:r>
          </w:p>
        </w:tc>
        <w:tc>
          <w:tcPr>
            <w:tcW w:w="1414" w:type="pct"/>
            <w:tcBorders>
              <w:top w:val="single" w:color="auto" w:sz="4" w:space="0"/>
              <w:left w:val="single" w:color="auto" w:sz="4" w:space="0"/>
              <w:bottom w:val="single" w:color="auto" w:sz="4" w:space="0"/>
              <w:right w:val="single" w:color="auto" w:sz="4" w:space="0"/>
            </w:tcBorders>
            <w:vAlign w:val="center"/>
          </w:tcPr>
          <w:p w14:paraId="356CD5E3">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中国授权号：ZL201910756019.1</w:t>
            </w:r>
          </w:p>
        </w:tc>
        <w:tc>
          <w:tcPr>
            <w:tcW w:w="1113" w:type="pct"/>
            <w:tcBorders>
              <w:top w:val="single" w:color="auto" w:sz="4" w:space="0"/>
              <w:left w:val="single" w:color="auto" w:sz="4" w:space="0"/>
              <w:bottom w:val="single" w:color="auto" w:sz="4" w:space="0"/>
              <w:right w:val="single" w:color="auto" w:sz="8" w:space="0"/>
            </w:tcBorders>
            <w:vAlign w:val="center"/>
          </w:tcPr>
          <w:p w14:paraId="51F6279F">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马光辉、魏炜、习晓博、叶通、那向明、卿爽</w:t>
            </w:r>
          </w:p>
        </w:tc>
      </w:tr>
      <w:tr w14:paraId="1A200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tcBorders>
              <w:top w:val="single" w:color="auto" w:sz="4" w:space="0"/>
              <w:left w:val="single" w:color="auto" w:sz="8" w:space="0"/>
              <w:bottom w:val="single" w:color="auto" w:sz="4" w:space="0"/>
              <w:right w:val="single" w:color="auto" w:sz="4" w:space="0"/>
            </w:tcBorders>
            <w:vAlign w:val="center"/>
          </w:tcPr>
          <w:p w14:paraId="7B5B5A72">
            <w:pPr>
              <w:pStyle w:val="14"/>
              <w:adjustRightInd w:val="0"/>
              <w:snapToGrid w:val="0"/>
              <w:spacing w:line="240" w:lineRule="auto"/>
              <w:ind w:firstLine="0" w:firstLineChars="0"/>
              <w:jc w:val="center"/>
              <w:outlineLvl w:val="0"/>
              <w:rPr>
                <w:rFonts w:ascii="Times New Roman" w:hAnsi="Times New Roman" w:cs="Times New Roman"/>
                <w:szCs w:val="24"/>
              </w:rPr>
            </w:pPr>
            <w:r>
              <w:rPr>
                <w:rFonts w:ascii="Times New Roman" w:hAnsi="Times New Roman" w:cs="Times New Roman"/>
                <w:szCs w:val="24"/>
              </w:rPr>
              <w:t>4</w:t>
            </w:r>
          </w:p>
        </w:tc>
        <w:tc>
          <w:tcPr>
            <w:tcW w:w="586" w:type="pct"/>
            <w:tcBorders>
              <w:top w:val="single" w:color="auto" w:sz="4" w:space="0"/>
              <w:left w:val="single" w:color="auto" w:sz="4" w:space="0"/>
              <w:bottom w:val="single" w:color="auto" w:sz="4" w:space="0"/>
              <w:right w:val="single" w:color="auto" w:sz="4" w:space="0"/>
            </w:tcBorders>
            <w:vAlign w:val="center"/>
          </w:tcPr>
          <w:p w14:paraId="7545F5A4">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美国发明专利</w:t>
            </w:r>
          </w:p>
        </w:tc>
        <w:tc>
          <w:tcPr>
            <w:tcW w:w="1412" w:type="pct"/>
            <w:tcBorders>
              <w:top w:val="single" w:color="auto" w:sz="4" w:space="0"/>
              <w:left w:val="single" w:color="auto" w:sz="4" w:space="0"/>
              <w:bottom w:val="single" w:color="auto" w:sz="4" w:space="0"/>
              <w:right w:val="single" w:color="auto" w:sz="4" w:space="0"/>
            </w:tcBorders>
            <w:vAlign w:val="center"/>
          </w:tcPr>
          <w:p w14:paraId="68181035">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Method of making exosomes from tumor cell/antigen presenting cell hybrid cells</w:t>
            </w:r>
          </w:p>
        </w:tc>
        <w:tc>
          <w:tcPr>
            <w:tcW w:w="1414" w:type="pct"/>
            <w:tcBorders>
              <w:top w:val="single" w:color="auto" w:sz="4" w:space="0"/>
              <w:left w:val="single" w:color="auto" w:sz="4" w:space="0"/>
              <w:bottom w:val="single" w:color="auto" w:sz="4" w:space="0"/>
              <w:right w:val="single" w:color="auto" w:sz="4" w:space="0"/>
            </w:tcBorders>
            <w:vAlign w:val="center"/>
          </w:tcPr>
          <w:p w14:paraId="057B615A">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美国授权号：US12241091B2</w:t>
            </w:r>
          </w:p>
        </w:tc>
        <w:tc>
          <w:tcPr>
            <w:tcW w:w="1113" w:type="pct"/>
            <w:tcBorders>
              <w:top w:val="single" w:color="auto" w:sz="4" w:space="0"/>
              <w:left w:val="single" w:color="auto" w:sz="4" w:space="0"/>
              <w:bottom w:val="single" w:color="auto" w:sz="4" w:space="0"/>
              <w:right w:val="single" w:color="auto" w:sz="8" w:space="0"/>
            </w:tcBorders>
            <w:vAlign w:val="center"/>
          </w:tcPr>
          <w:p w14:paraId="75435E45">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马光辉、魏炜、王双、卿爽、王江华</w:t>
            </w:r>
          </w:p>
        </w:tc>
      </w:tr>
      <w:tr w14:paraId="015BF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pct"/>
            <w:tcBorders>
              <w:top w:val="single" w:color="auto" w:sz="4" w:space="0"/>
              <w:left w:val="single" w:color="auto" w:sz="8" w:space="0"/>
              <w:bottom w:val="single" w:color="auto" w:sz="4" w:space="0"/>
              <w:right w:val="single" w:color="auto" w:sz="4" w:space="0"/>
            </w:tcBorders>
            <w:vAlign w:val="center"/>
          </w:tcPr>
          <w:p w14:paraId="311B2AFA">
            <w:pPr>
              <w:pStyle w:val="14"/>
              <w:adjustRightInd w:val="0"/>
              <w:snapToGrid w:val="0"/>
              <w:spacing w:line="240" w:lineRule="auto"/>
              <w:ind w:firstLine="0" w:firstLineChars="0"/>
              <w:jc w:val="center"/>
              <w:outlineLvl w:val="0"/>
              <w:rPr>
                <w:rFonts w:ascii="Times New Roman" w:hAnsi="Times New Roman" w:cs="Times New Roman"/>
                <w:szCs w:val="24"/>
              </w:rPr>
            </w:pPr>
            <w:r>
              <w:rPr>
                <w:rFonts w:ascii="Times New Roman" w:hAnsi="Times New Roman" w:cs="Times New Roman"/>
                <w:szCs w:val="24"/>
              </w:rPr>
              <w:t>5</w:t>
            </w:r>
          </w:p>
        </w:tc>
        <w:tc>
          <w:tcPr>
            <w:tcW w:w="586" w:type="pct"/>
            <w:tcBorders>
              <w:top w:val="single" w:color="auto" w:sz="4" w:space="0"/>
              <w:left w:val="single" w:color="auto" w:sz="4" w:space="0"/>
              <w:bottom w:val="single" w:color="auto" w:sz="4" w:space="0"/>
              <w:right w:val="single" w:color="auto" w:sz="4" w:space="0"/>
            </w:tcBorders>
            <w:vAlign w:val="center"/>
          </w:tcPr>
          <w:p w14:paraId="7EC6A7E7">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日本发明专利</w:t>
            </w:r>
          </w:p>
        </w:tc>
        <w:tc>
          <w:tcPr>
            <w:tcW w:w="1412" w:type="pct"/>
            <w:tcBorders>
              <w:top w:val="single" w:color="auto" w:sz="4" w:space="0"/>
              <w:left w:val="single" w:color="auto" w:sz="4" w:space="0"/>
              <w:bottom w:val="single" w:color="auto" w:sz="4" w:space="0"/>
              <w:right w:val="single" w:color="auto" w:sz="4" w:space="0"/>
            </w:tcBorders>
            <w:vAlign w:val="center"/>
          </w:tcPr>
          <w:p w14:paraId="50C65008">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エクソソームに基づく抗腫瘍ワクチン</w:t>
            </w:r>
          </w:p>
        </w:tc>
        <w:tc>
          <w:tcPr>
            <w:tcW w:w="1414" w:type="pct"/>
            <w:tcBorders>
              <w:top w:val="single" w:color="auto" w:sz="4" w:space="0"/>
              <w:left w:val="single" w:color="auto" w:sz="4" w:space="0"/>
              <w:bottom w:val="single" w:color="auto" w:sz="4" w:space="0"/>
              <w:right w:val="single" w:color="auto" w:sz="4" w:space="0"/>
            </w:tcBorders>
            <w:vAlign w:val="center"/>
          </w:tcPr>
          <w:p w14:paraId="1CD89A21">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日本授权号：</w:t>
            </w:r>
          </w:p>
          <w:p w14:paraId="2E58A7AA">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JP</w:t>
            </w:r>
            <w:r>
              <w:rPr>
                <w:rFonts w:ascii="Times New Roman" w:hAnsi="Times New Roman" w:cs="Times New Roman"/>
                <w:szCs w:val="24"/>
              </w:rPr>
              <w:t>7282874</w:t>
            </w:r>
          </w:p>
        </w:tc>
        <w:tc>
          <w:tcPr>
            <w:tcW w:w="1113" w:type="pct"/>
            <w:tcBorders>
              <w:top w:val="single" w:color="auto" w:sz="4" w:space="0"/>
              <w:left w:val="single" w:color="auto" w:sz="4" w:space="0"/>
              <w:bottom w:val="single" w:color="auto" w:sz="4" w:space="0"/>
              <w:right w:val="single" w:color="auto" w:sz="8" w:space="0"/>
            </w:tcBorders>
            <w:vAlign w:val="center"/>
          </w:tcPr>
          <w:p w14:paraId="2576B0C9">
            <w:pPr>
              <w:pStyle w:val="14"/>
              <w:adjustRightInd w:val="0"/>
              <w:snapToGrid w:val="0"/>
              <w:spacing w:line="240" w:lineRule="auto"/>
              <w:ind w:firstLine="0" w:firstLineChars="0"/>
              <w:jc w:val="center"/>
              <w:outlineLvl w:val="0"/>
              <w:rPr>
                <w:rFonts w:ascii="Times New Roman" w:hAnsi="Times New Roman" w:cs="Times New Roman"/>
                <w:szCs w:val="24"/>
              </w:rPr>
            </w:pPr>
            <w:r>
              <w:rPr>
                <w:rFonts w:hint="eastAsia" w:ascii="Times New Roman" w:hAnsi="Times New Roman" w:cs="Times New Roman"/>
                <w:szCs w:val="24"/>
              </w:rPr>
              <w:t>马光辉、魏炜、王双、卿爽、王江华</w:t>
            </w:r>
          </w:p>
        </w:tc>
      </w:tr>
    </w:tbl>
    <w:p w14:paraId="7B085CD3">
      <w:pPr>
        <w:spacing w:before="156" w:beforeLines="50" w:line="560" w:lineRule="exact"/>
        <w:ind w:left="1112" w:leftChars="300" w:hanging="482" w:hangingChars="150"/>
        <w:rPr>
          <w:rFonts w:ascii="Times New Roman" w:hAnsi="Times New Roman" w:eastAsia="楷体" w:cs="Times New Roman"/>
          <w:b/>
          <w:sz w:val="32"/>
          <w:szCs w:val="32"/>
        </w:rPr>
      </w:pPr>
      <w:r>
        <w:rPr>
          <w:rFonts w:hint="eastAsia" w:ascii="Times New Roman" w:hAnsi="Times New Roman" w:eastAsia="楷体" w:cs="Times New Roman"/>
          <w:b/>
          <w:sz w:val="32"/>
          <w:szCs w:val="32"/>
        </w:rPr>
        <w:t>4. 成员贡献情况</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946"/>
        <w:gridCol w:w="2080"/>
        <w:gridCol w:w="4377"/>
      </w:tblGrid>
      <w:tr w14:paraId="0A1A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pct"/>
            <w:tcBorders>
              <w:top w:val="single" w:color="auto" w:sz="4" w:space="0"/>
              <w:left w:val="single" w:color="auto" w:sz="4" w:space="0"/>
              <w:bottom w:val="single" w:color="auto" w:sz="4" w:space="0"/>
              <w:right w:val="single" w:color="auto" w:sz="4" w:space="0"/>
            </w:tcBorders>
          </w:tcPr>
          <w:p w14:paraId="7D767060">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排序</w:t>
            </w:r>
          </w:p>
        </w:tc>
        <w:tc>
          <w:tcPr>
            <w:tcW w:w="570" w:type="pct"/>
            <w:tcBorders>
              <w:top w:val="single" w:color="auto" w:sz="4" w:space="0"/>
              <w:left w:val="single" w:color="auto" w:sz="4" w:space="0"/>
              <w:bottom w:val="single" w:color="auto" w:sz="4" w:space="0"/>
              <w:right w:val="single" w:color="auto" w:sz="4" w:space="0"/>
            </w:tcBorders>
          </w:tcPr>
          <w:p w14:paraId="686CF346">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姓名</w:t>
            </w:r>
          </w:p>
        </w:tc>
        <w:tc>
          <w:tcPr>
            <w:tcW w:w="1253" w:type="pct"/>
            <w:tcBorders>
              <w:top w:val="single" w:color="auto" w:sz="4" w:space="0"/>
              <w:left w:val="single" w:color="auto" w:sz="4" w:space="0"/>
              <w:bottom w:val="single" w:color="auto" w:sz="4" w:space="0"/>
              <w:right w:val="single" w:color="auto" w:sz="4" w:space="0"/>
            </w:tcBorders>
          </w:tcPr>
          <w:p w14:paraId="00FC2837">
            <w:pPr>
              <w:jc w:val="center"/>
              <w:rPr>
                <w:rFonts w:ascii="Times New Roman" w:hAnsi="Times New Roman" w:eastAsia="黑体" w:cs="Times New Roman"/>
                <w:b/>
                <w:sz w:val="30"/>
              </w:rPr>
            </w:pPr>
            <w:r>
              <w:rPr>
                <w:rFonts w:hint="eastAsia" w:ascii="Times New Roman" w:hAnsi="Times New Roman" w:eastAsia="黑体" w:cs="Times New Roman"/>
                <w:b/>
                <w:sz w:val="30"/>
              </w:rPr>
              <w:t>工作单位</w:t>
            </w:r>
          </w:p>
        </w:tc>
        <w:tc>
          <w:tcPr>
            <w:tcW w:w="2637" w:type="pct"/>
            <w:tcBorders>
              <w:top w:val="single" w:color="auto" w:sz="4" w:space="0"/>
              <w:left w:val="single" w:color="auto" w:sz="4" w:space="0"/>
              <w:bottom w:val="single" w:color="auto" w:sz="4" w:space="0"/>
              <w:right w:val="single" w:color="auto" w:sz="4" w:space="0"/>
            </w:tcBorders>
          </w:tcPr>
          <w:p w14:paraId="6496F719">
            <w:pPr>
              <w:jc w:val="center"/>
              <w:rPr>
                <w:rFonts w:ascii="Times New Roman" w:hAnsi="Times New Roman" w:eastAsia="黑体" w:cs="Times New Roman"/>
                <w:b/>
                <w:sz w:val="30"/>
                <w:szCs w:val="24"/>
              </w:rPr>
            </w:pPr>
            <w:r>
              <w:rPr>
                <w:rFonts w:hint="eastAsia" w:ascii="Times New Roman" w:hAnsi="Times New Roman" w:eastAsia="黑体" w:cs="Times New Roman"/>
                <w:b/>
                <w:sz w:val="30"/>
              </w:rPr>
              <w:t>主要贡献</w:t>
            </w:r>
          </w:p>
        </w:tc>
      </w:tr>
      <w:tr w14:paraId="46D7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pct"/>
            <w:tcBorders>
              <w:top w:val="single" w:color="auto" w:sz="4" w:space="0"/>
              <w:left w:val="single" w:color="auto" w:sz="4" w:space="0"/>
              <w:bottom w:val="single" w:color="auto" w:sz="4" w:space="0"/>
              <w:right w:val="single" w:color="auto" w:sz="4" w:space="0"/>
            </w:tcBorders>
          </w:tcPr>
          <w:p w14:paraId="4C5DB0A7">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1</w:t>
            </w:r>
          </w:p>
        </w:tc>
        <w:tc>
          <w:tcPr>
            <w:tcW w:w="570" w:type="pct"/>
            <w:tcBorders>
              <w:top w:val="single" w:color="auto" w:sz="4" w:space="0"/>
              <w:left w:val="single" w:color="auto" w:sz="4" w:space="0"/>
              <w:bottom w:val="single" w:color="auto" w:sz="4" w:space="0"/>
              <w:right w:val="single" w:color="auto" w:sz="4" w:space="0"/>
            </w:tcBorders>
          </w:tcPr>
          <w:p w14:paraId="39CA5BB0">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魏炜</w:t>
            </w:r>
          </w:p>
        </w:tc>
        <w:tc>
          <w:tcPr>
            <w:tcW w:w="1253" w:type="pct"/>
            <w:tcBorders>
              <w:top w:val="single" w:color="auto" w:sz="4" w:space="0"/>
              <w:left w:val="single" w:color="auto" w:sz="4" w:space="0"/>
              <w:bottom w:val="single" w:color="auto" w:sz="4" w:space="0"/>
              <w:right w:val="single" w:color="auto" w:sz="4" w:space="0"/>
            </w:tcBorders>
          </w:tcPr>
          <w:p w14:paraId="1B8CDE39">
            <w:pPr>
              <w:jc w:val="left"/>
              <w:rPr>
                <w:rFonts w:ascii="Times New Roman" w:hAnsi="Times New Roman" w:eastAsia="宋体" w:cs="Times New Roman"/>
                <w:bCs/>
                <w:sz w:val="24"/>
                <w:szCs w:val="21"/>
              </w:rPr>
            </w:pPr>
            <w:bookmarkStart w:id="7" w:name="OLE_LINK38"/>
            <w:r>
              <w:rPr>
                <w:rFonts w:hint="eastAsia" w:ascii="Times New Roman" w:hAnsi="Times New Roman" w:eastAsia="宋体" w:cs="Times New Roman"/>
                <w:bCs/>
                <w:sz w:val="24"/>
                <w:szCs w:val="21"/>
              </w:rPr>
              <w:t>中国科学院过程工程研究所</w:t>
            </w:r>
            <w:bookmarkEnd w:id="7"/>
          </w:p>
        </w:tc>
        <w:tc>
          <w:tcPr>
            <w:tcW w:w="2637" w:type="pct"/>
            <w:tcBorders>
              <w:top w:val="single" w:color="auto" w:sz="4" w:space="0"/>
              <w:left w:val="single" w:color="auto" w:sz="4" w:space="0"/>
              <w:bottom w:val="single" w:color="auto" w:sz="4" w:space="0"/>
              <w:right w:val="single" w:color="auto" w:sz="4" w:space="0"/>
            </w:tcBorders>
          </w:tcPr>
          <w:p w14:paraId="7851C882">
            <w:pPr>
              <w:jc w:val="left"/>
              <w:rPr>
                <w:rFonts w:ascii="Times New Roman" w:hAnsi="Times New Roman" w:eastAsia="宋体" w:cs="Times New Roman"/>
                <w:bCs/>
                <w:sz w:val="24"/>
                <w:szCs w:val="21"/>
              </w:rPr>
            </w:pPr>
            <w:bookmarkStart w:id="8" w:name="OLE_LINK39"/>
            <w:r>
              <w:rPr>
                <w:rFonts w:hint="eastAsia" w:ascii="Times New Roman" w:hAnsi="Times New Roman" w:eastAsia="宋体" w:cs="Times New Roman"/>
                <w:bCs/>
                <w:sz w:val="24"/>
                <w:szCs w:val="21"/>
              </w:rPr>
              <w:t>对第1-3项科学发现均做出了重要贡献，是代表性论文1-4的共同通讯作者。作为项目负责人，创制多种均一生物可降解颗粒并发现其新功能，发现功能颗粒底盘诱导细胞免疫新机制，提出次序变构递送新策略增效黏膜免疫应答。</w:t>
            </w:r>
            <w:bookmarkEnd w:id="8"/>
          </w:p>
        </w:tc>
      </w:tr>
      <w:tr w14:paraId="527D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pct"/>
            <w:tcBorders>
              <w:top w:val="single" w:color="auto" w:sz="4" w:space="0"/>
              <w:left w:val="single" w:color="auto" w:sz="4" w:space="0"/>
              <w:bottom w:val="single" w:color="auto" w:sz="4" w:space="0"/>
              <w:right w:val="single" w:color="auto" w:sz="4" w:space="0"/>
            </w:tcBorders>
          </w:tcPr>
          <w:p w14:paraId="6BB864FC">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2</w:t>
            </w:r>
          </w:p>
        </w:tc>
        <w:tc>
          <w:tcPr>
            <w:tcW w:w="570" w:type="pct"/>
            <w:tcBorders>
              <w:top w:val="single" w:color="auto" w:sz="4" w:space="0"/>
              <w:left w:val="single" w:color="auto" w:sz="4" w:space="0"/>
              <w:bottom w:val="single" w:color="auto" w:sz="4" w:space="0"/>
              <w:right w:val="single" w:color="auto" w:sz="4" w:space="0"/>
            </w:tcBorders>
          </w:tcPr>
          <w:p w14:paraId="6520204A">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马光辉</w:t>
            </w:r>
          </w:p>
        </w:tc>
        <w:tc>
          <w:tcPr>
            <w:tcW w:w="1253" w:type="pct"/>
            <w:tcBorders>
              <w:top w:val="single" w:color="auto" w:sz="4" w:space="0"/>
              <w:left w:val="single" w:color="auto" w:sz="4" w:space="0"/>
              <w:bottom w:val="single" w:color="auto" w:sz="4" w:space="0"/>
              <w:right w:val="single" w:color="auto" w:sz="4" w:space="0"/>
            </w:tcBorders>
          </w:tcPr>
          <w:p w14:paraId="1F0548DF">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中国科学院过程工程研究所</w:t>
            </w:r>
          </w:p>
        </w:tc>
        <w:tc>
          <w:tcPr>
            <w:tcW w:w="2637" w:type="pct"/>
            <w:tcBorders>
              <w:top w:val="single" w:color="auto" w:sz="4" w:space="0"/>
              <w:left w:val="single" w:color="auto" w:sz="4" w:space="0"/>
              <w:bottom w:val="single" w:color="auto" w:sz="4" w:space="0"/>
              <w:right w:val="single" w:color="auto" w:sz="4" w:space="0"/>
            </w:tcBorders>
          </w:tcPr>
          <w:p w14:paraId="43352952">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对第1-3项科学发现均做出重要贡献，是代表性论文1-5的共同通讯作者。作为项目核心骨干，建立两步次序膜乳化新制造过程，实现功能颗粒的均一可控制备，提出颗粒“底盘”和抗原共筑工程化疫苗的新思想。</w:t>
            </w:r>
          </w:p>
        </w:tc>
      </w:tr>
      <w:tr w14:paraId="70AC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pct"/>
            <w:tcBorders>
              <w:top w:val="single" w:color="auto" w:sz="4" w:space="0"/>
              <w:left w:val="single" w:color="auto" w:sz="4" w:space="0"/>
              <w:bottom w:val="single" w:color="auto" w:sz="4" w:space="0"/>
              <w:right w:val="single" w:color="auto" w:sz="4" w:space="0"/>
            </w:tcBorders>
          </w:tcPr>
          <w:p w14:paraId="2C5E2399">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3</w:t>
            </w:r>
          </w:p>
        </w:tc>
        <w:tc>
          <w:tcPr>
            <w:tcW w:w="570" w:type="pct"/>
            <w:tcBorders>
              <w:top w:val="single" w:color="auto" w:sz="4" w:space="0"/>
              <w:left w:val="single" w:color="auto" w:sz="4" w:space="0"/>
              <w:bottom w:val="single" w:color="auto" w:sz="4" w:space="0"/>
              <w:right w:val="single" w:color="auto" w:sz="4" w:space="0"/>
            </w:tcBorders>
          </w:tcPr>
          <w:p w14:paraId="24CB72A7">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王双</w:t>
            </w:r>
          </w:p>
        </w:tc>
        <w:tc>
          <w:tcPr>
            <w:tcW w:w="1253" w:type="pct"/>
            <w:tcBorders>
              <w:top w:val="single" w:color="auto" w:sz="4" w:space="0"/>
              <w:left w:val="single" w:color="auto" w:sz="4" w:space="0"/>
              <w:bottom w:val="single" w:color="auto" w:sz="4" w:space="0"/>
              <w:right w:val="single" w:color="auto" w:sz="4" w:space="0"/>
            </w:tcBorders>
          </w:tcPr>
          <w:p w14:paraId="621370FE">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中国科学院过程工程研究所</w:t>
            </w:r>
          </w:p>
        </w:tc>
        <w:tc>
          <w:tcPr>
            <w:tcW w:w="2637" w:type="pct"/>
            <w:tcBorders>
              <w:top w:val="single" w:color="auto" w:sz="4" w:space="0"/>
              <w:left w:val="single" w:color="auto" w:sz="4" w:space="0"/>
              <w:bottom w:val="single" w:color="auto" w:sz="4" w:space="0"/>
              <w:right w:val="single" w:color="auto" w:sz="4" w:space="0"/>
            </w:tcBorders>
          </w:tcPr>
          <w:p w14:paraId="4CD32EA3">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对第2和3项科学发现做出了贡献，是代表性论文3的第一作者以及1、2和4的合作作者。作为项目主要骨干，创建了嵌合外泌体颗粒和舌下崩解片疫苗，推动了IIT临床研究。</w:t>
            </w:r>
          </w:p>
        </w:tc>
      </w:tr>
      <w:tr w14:paraId="59E33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pct"/>
            <w:tcBorders>
              <w:top w:val="single" w:color="auto" w:sz="4" w:space="0"/>
              <w:left w:val="single" w:color="auto" w:sz="4" w:space="0"/>
              <w:bottom w:val="single" w:color="auto" w:sz="4" w:space="0"/>
              <w:right w:val="single" w:color="auto" w:sz="4" w:space="0"/>
            </w:tcBorders>
          </w:tcPr>
          <w:p w14:paraId="372B37D1">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4</w:t>
            </w:r>
          </w:p>
        </w:tc>
        <w:tc>
          <w:tcPr>
            <w:tcW w:w="570" w:type="pct"/>
            <w:tcBorders>
              <w:top w:val="single" w:color="auto" w:sz="4" w:space="0"/>
              <w:left w:val="single" w:color="auto" w:sz="4" w:space="0"/>
              <w:bottom w:val="single" w:color="auto" w:sz="4" w:space="0"/>
              <w:right w:val="single" w:color="auto" w:sz="4" w:space="0"/>
            </w:tcBorders>
          </w:tcPr>
          <w:p w14:paraId="7982E552">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栗锋</w:t>
            </w:r>
          </w:p>
        </w:tc>
        <w:tc>
          <w:tcPr>
            <w:tcW w:w="1253" w:type="pct"/>
            <w:tcBorders>
              <w:top w:val="single" w:color="auto" w:sz="4" w:space="0"/>
              <w:left w:val="single" w:color="auto" w:sz="4" w:space="0"/>
              <w:bottom w:val="single" w:color="auto" w:sz="4" w:space="0"/>
              <w:right w:val="single" w:color="auto" w:sz="4" w:space="0"/>
            </w:tcBorders>
          </w:tcPr>
          <w:p w14:paraId="3B804932">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中国科学院过程工程研究所</w:t>
            </w:r>
          </w:p>
        </w:tc>
        <w:tc>
          <w:tcPr>
            <w:tcW w:w="2637" w:type="pct"/>
            <w:tcBorders>
              <w:top w:val="single" w:color="auto" w:sz="4" w:space="0"/>
              <w:left w:val="single" w:color="auto" w:sz="4" w:space="0"/>
              <w:bottom w:val="single" w:color="auto" w:sz="4" w:space="0"/>
              <w:right w:val="single" w:color="auto" w:sz="4" w:space="0"/>
            </w:tcBorders>
          </w:tcPr>
          <w:p w14:paraId="4506F5E4">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对第1和2项科学发现做出了贡献，是代表性论文2的第一作者以及代表性论文3的合作作者。创制了均一蛋白团簇颗粒并发现其免疫增效机制，合作完成嵌合外泌体疫苗研究。</w:t>
            </w:r>
          </w:p>
        </w:tc>
      </w:tr>
      <w:tr w14:paraId="340B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 w:type="pct"/>
            <w:tcBorders>
              <w:top w:val="single" w:color="auto" w:sz="4" w:space="0"/>
              <w:left w:val="single" w:color="auto" w:sz="4" w:space="0"/>
              <w:bottom w:val="single" w:color="auto" w:sz="4" w:space="0"/>
              <w:right w:val="single" w:color="auto" w:sz="4" w:space="0"/>
            </w:tcBorders>
          </w:tcPr>
          <w:p w14:paraId="4E9EB4A3">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5</w:t>
            </w:r>
          </w:p>
        </w:tc>
        <w:tc>
          <w:tcPr>
            <w:tcW w:w="570" w:type="pct"/>
            <w:tcBorders>
              <w:top w:val="single" w:color="auto" w:sz="4" w:space="0"/>
              <w:left w:val="single" w:color="auto" w:sz="4" w:space="0"/>
              <w:bottom w:val="single" w:color="auto" w:sz="4" w:space="0"/>
              <w:right w:val="single" w:color="auto" w:sz="4" w:space="0"/>
            </w:tcBorders>
          </w:tcPr>
          <w:p w14:paraId="23C0C562">
            <w:pPr>
              <w:jc w:val="center"/>
              <w:rPr>
                <w:rFonts w:ascii="Times New Roman" w:hAnsi="Times New Roman" w:eastAsia="宋体" w:cs="Times New Roman"/>
                <w:bCs/>
                <w:sz w:val="24"/>
                <w:szCs w:val="21"/>
              </w:rPr>
            </w:pPr>
            <w:r>
              <w:rPr>
                <w:rFonts w:hint="eastAsia" w:ascii="Times New Roman" w:hAnsi="Times New Roman" w:eastAsia="宋体" w:cs="Times New Roman"/>
                <w:bCs/>
                <w:sz w:val="24"/>
                <w:szCs w:val="21"/>
              </w:rPr>
              <w:t>夏宇飞</w:t>
            </w:r>
          </w:p>
        </w:tc>
        <w:tc>
          <w:tcPr>
            <w:tcW w:w="1253" w:type="pct"/>
            <w:tcBorders>
              <w:top w:val="single" w:color="auto" w:sz="4" w:space="0"/>
              <w:left w:val="single" w:color="auto" w:sz="4" w:space="0"/>
              <w:bottom w:val="single" w:color="auto" w:sz="4" w:space="0"/>
              <w:right w:val="single" w:color="auto" w:sz="4" w:space="0"/>
            </w:tcBorders>
          </w:tcPr>
          <w:p w14:paraId="5FEE7EF6">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中国科学院过程工程研究所</w:t>
            </w:r>
          </w:p>
        </w:tc>
        <w:tc>
          <w:tcPr>
            <w:tcW w:w="2637" w:type="pct"/>
            <w:tcBorders>
              <w:top w:val="single" w:color="auto" w:sz="4" w:space="0"/>
              <w:left w:val="single" w:color="auto" w:sz="4" w:space="0"/>
              <w:bottom w:val="single" w:color="auto" w:sz="4" w:space="0"/>
              <w:right w:val="single" w:color="auto" w:sz="4" w:space="0"/>
            </w:tcBorders>
          </w:tcPr>
          <w:p w14:paraId="54D84D25">
            <w:pPr>
              <w:jc w:val="left"/>
              <w:rPr>
                <w:rFonts w:ascii="Times New Roman" w:hAnsi="Times New Roman" w:eastAsia="宋体" w:cs="Times New Roman"/>
                <w:bCs/>
                <w:sz w:val="24"/>
                <w:szCs w:val="21"/>
              </w:rPr>
            </w:pPr>
            <w:r>
              <w:rPr>
                <w:rFonts w:hint="eastAsia" w:ascii="Times New Roman" w:hAnsi="Times New Roman" w:eastAsia="宋体" w:cs="Times New Roman"/>
                <w:bCs/>
                <w:sz w:val="24"/>
                <w:szCs w:val="21"/>
              </w:rPr>
              <w:t>对第2项科学发现做出了贡献，是代表性论文5的共同通讯作者。作为项目骨干，设计Pickering乳液底盘，有效增强了抗原提呈细胞的摄取和交叉提呈，为疫苗开发提供了新策略。</w:t>
            </w:r>
          </w:p>
        </w:tc>
      </w:tr>
    </w:tbl>
    <w:p w14:paraId="1D0F4A66">
      <w:pPr>
        <w:widowControl/>
        <w:ind w:firstLine="640" w:firstLineChars="200"/>
        <w:jc w:val="left"/>
        <w:rPr>
          <w:rFonts w:ascii="Times New Roman" w:hAnsi="Times New Roman" w:eastAsia="华文中宋" w:cs="Times New Roman"/>
          <w:b/>
          <w:sz w:val="44"/>
        </w:rPr>
      </w:pPr>
      <w:r>
        <w:rPr>
          <w:rFonts w:hint="eastAsia" w:ascii="Times New Roman" w:hAnsi="Times New Roman" w:eastAsia="仿宋_GB2312" w:cs="Times New Roman"/>
          <w:sz w:val="32"/>
          <w:szCs w:val="28"/>
        </w:rPr>
        <w:t>说明：公示内容须与推荐书相关部分一致。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hMTUwY2QwZWZmMjEwMmMxMDg0ZmUxYTJhMDljOTYifQ=="/>
  </w:docVars>
  <w:rsids>
    <w:rsidRoot w:val="008844BA"/>
    <w:rsid w:val="00084840"/>
    <w:rsid w:val="00267BAD"/>
    <w:rsid w:val="0042024D"/>
    <w:rsid w:val="00821EA9"/>
    <w:rsid w:val="008844BA"/>
    <w:rsid w:val="0096587F"/>
    <w:rsid w:val="00A34EEB"/>
    <w:rsid w:val="00AE76C8"/>
    <w:rsid w:val="00AF1FF4"/>
    <w:rsid w:val="00C0607D"/>
    <w:rsid w:val="00CD6E8B"/>
    <w:rsid w:val="00E97790"/>
    <w:rsid w:val="04900898"/>
    <w:rsid w:val="111D5D5A"/>
    <w:rsid w:val="15B51914"/>
    <w:rsid w:val="3D946211"/>
    <w:rsid w:val="41C537DA"/>
    <w:rsid w:val="54142638"/>
    <w:rsid w:val="6C302907"/>
    <w:rsid w:val="6F6D0DE0"/>
    <w:rsid w:val="7F74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pPr>
      <w:spacing w:line="360" w:lineRule="auto"/>
      <w:ind w:firstLine="480" w:firstLineChars="200"/>
    </w:pPr>
    <w:rPr>
      <w:rFonts w:ascii="等线 Light"/>
      <w:sz w:val="24"/>
      <w:szCs w:val="20"/>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引用1"/>
    <w:basedOn w:val="1"/>
    <w:next w:val="1"/>
    <w:link w:val="12"/>
    <w:qFormat/>
    <w:uiPriority w:val="99"/>
    <w:rPr>
      <w:rFonts w:ascii="Times New Roman" w:hAnsi="Times New Roman" w:eastAsia="宋体" w:cs="Times New Roman"/>
      <w:i/>
      <w:color w:val="000000"/>
      <w:kern w:val="0"/>
      <w:szCs w:val="20"/>
    </w:rPr>
  </w:style>
  <w:style w:type="character" w:customStyle="1" w:styleId="12">
    <w:name w:val="Quote Char"/>
    <w:link w:val="11"/>
    <w:qFormat/>
    <w:locked/>
    <w:uiPriority w:val="99"/>
    <w:rPr>
      <w:rFonts w:ascii="Times New Roman" w:hAnsi="Times New Roman" w:eastAsia="宋体" w:cs="Times New Roman"/>
      <w:i/>
      <w:color w:val="000000"/>
      <w:kern w:val="0"/>
      <w:szCs w:val="20"/>
    </w:rPr>
  </w:style>
  <w:style w:type="character" w:customStyle="1" w:styleId="13">
    <w:name w:val="批注框文本 字符"/>
    <w:basedOn w:val="8"/>
    <w:link w:val="3"/>
    <w:semiHidden/>
    <w:qFormat/>
    <w:uiPriority w:val="99"/>
    <w:rPr>
      <w:sz w:val="18"/>
      <w:szCs w:val="18"/>
    </w:rPr>
  </w:style>
  <w:style w:type="paragraph" w:customStyle="1" w:styleId="14">
    <w:name w:val="_Style 8"/>
    <w:basedOn w:val="1"/>
    <w:next w:val="1"/>
    <w:qFormat/>
    <w:uiPriority w:val="0"/>
    <w:pPr>
      <w:spacing w:line="360" w:lineRule="auto"/>
      <w:ind w:firstLine="480" w:firstLineChars="200"/>
    </w:pPr>
    <w:rPr>
      <w:rFonts w:ascii="等线 Light"/>
      <w:sz w:val="24"/>
    </w:rPr>
  </w:style>
  <w:style w:type="paragraph" w:customStyle="1" w:styleId="15">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8E41F7B6A0C24F94BC9591B929C4E45B_13</vt:lpwstr>
  </property>
  <property fmtid="{D5CDD505-2E9C-101B-9397-08002B2CF9AE}" pid="4" name="KSOTemplateDocerSaveRecord">
    <vt:lpwstr>eyJoZGlkIjoiMTNmOTNlOTk2ZTNjYzEyNzk3NjJlMmM4NWExOWU4ZjQiLCJ1c2VySWQiOiIzMDgxNzMzMjQifQ==</vt:lpwstr>
  </property>
</Properties>
</file>

<file path=customXml/itemProps1.xml><?xml version="1.0" encoding="utf-8"?>
<ds:datastoreItem xmlns:ds="http://schemas.openxmlformats.org/officeDocument/2006/customXml" ds:itemID="{D9B587EA-B114-43AF-8B43-AA29AAA2C76A}">
  <ds:schemaRefs/>
</ds:datastoreItem>
</file>

<file path=docProps/app.xml><?xml version="1.0" encoding="utf-8"?>
<Properties xmlns="http://schemas.openxmlformats.org/officeDocument/2006/extended-properties" xmlns:vt="http://schemas.openxmlformats.org/officeDocument/2006/docPropsVTypes">
  <Template>Normal</Template>
  <Pages>8</Pages>
  <Words>2230</Words>
  <Characters>2558</Characters>
  <Lines>35</Lines>
  <Paragraphs>9</Paragraphs>
  <TotalTime>1</TotalTime>
  <ScaleCrop>false</ScaleCrop>
  <LinksUpToDate>false</LinksUpToDate>
  <CharactersWithSpaces>2620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2026-10-05T01:07:00Z</dcterms:created>
  <dc:creator>周长海</dc:creator>
  <cp:lastModifiedBy>DELL</cp:lastModifiedBy>
  <cp:lastPrinted>2024-09-09T00:54:00Z</cp:lastPrinted>
  <dcterms:modified xsi:type="dcterms:W3CDTF">2026-10-05T14:30:40Z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8E41F7B6A0C24F94BC9591B929C4E45B_13</vt:lpwstr>
  </property>
  <property fmtid="{D5CDD505-2E9C-101B-9397-08002B2CF9AE}" pid="4" name="KSOTemplateDocerSaveRecord">
    <vt:lpwstr>eyJoZGlkIjoiYjUxYzQ4ODk3MTY3YThkMjAzNTVkNmFkZTM5OTY0YjUiLCJ1c2VySWQiOiI2NjUwOTM0NDgifQ==</vt:lpwstr>
  </property>
</Properties>
</file>