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C6248">
      <w:pPr>
        <w:spacing w:before="156" w:beforeLines="50" w:after="156" w:afterLines="50" w:line="600" w:lineRule="exact"/>
        <w:jc w:val="center"/>
        <w:rPr>
          <w:rFonts w:ascii="Times New Roman" w:hAnsi="Times New Roman" w:eastAsia="华文中宋" w:cs="Times New Roman"/>
          <w:b/>
          <w:sz w:val="36"/>
          <w:szCs w:val="24"/>
        </w:rPr>
      </w:pPr>
      <w:r>
        <w:rPr>
          <w:rFonts w:hint="eastAsia" w:ascii="Times New Roman" w:hAnsi="Times New Roman" w:eastAsia="华文中宋" w:cs="Times New Roman"/>
          <w:b/>
          <w:sz w:val="36"/>
          <w:szCs w:val="24"/>
        </w:rPr>
        <w:t>候</w:t>
      </w:r>
      <w:bookmarkStart w:id="0" w:name="_GoBack"/>
      <w:bookmarkEnd w:id="0"/>
      <w:r>
        <w:rPr>
          <w:rFonts w:hint="eastAsia" w:ascii="Times New Roman" w:hAnsi="Times New Roman" w:eastAsia="华文中宋" w:cs="Times New Roman"/>
          <w:b/>
          <w:sz w:val="36"/>
          <w:szCs w:val="24"/>
        </w:rPr>
        <w:t>选者名称:</w:t>
      </w:r>
      <w:r>
        <w:rPr>
          <w:rFonts w:hint="eastAsia"/>
          <w:sz w:val="18"/>
          <w:szCs w:val="20"/>
        </w:rPr>
        <w:t xml:space="preserve"> </w:t>
      </w:r>
      <w:r>
        <w:rPr>
          <w:rFonts w:hint="eastAsia" w:ascii="Times New Roman" w:hAnsi="Times New Roman" w:eastAsia="华文中宋" w:cs="Times New Roman"/>
          <w:b/>
          <w:sz w:val="36"/>
          <w:szCs w:val="24"/>
        </w:rPr>
        <w:t>关键金属资源绿色高效利用技术与应用</w:t>
      </w:r>
    </w:p>
    <w:p w14:paraId="6F536495">
      <w:pPr>
        <w:spacing w:before="312" w:beforeLines="100" w:after="156" w:afterLines="50" w:line="520" w:lineRule="exact"/>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（拟推荐奖项:</w:t>
      </w:r>
      <w:r>
        <w:rPr>
          <w:rFonts w:hint="eastAsia" w:ascii="Times New Roman" w:hAnsi="Times New Roman" w:eastAsia="仿宋_GB2312"/>
          <w:sz w:val="32"/>
          <w:szCs w:val="28"/>
        </w:rPr>
        <w:t xml:space="preserve"> 202</w:t>
      </w:r>
      <w:r>
        <w:rPr>
          <w:rFonts w:ascii="Times New Roman" w:hAnsi="Times New Roman" w:eastAsia="仿宋_GB2312"/>
          <w:sz w:val="32"/>
          <w:szCs w:val="28"/>
        </w:rPr>
        <w:t>5</w:t>
      </w:r>
      <w:r>
        <w:rPr>
          <w:rFonts w:hint="eastAsia" w:ascii="Times New Roman" w:hAnsi="Times New Roman" w:eastAsia="仿宋_GB2312"/>
          <w:sz w:val="32"/>
          <w:szCs w:val="28"/>
        </w:rPr>
        <w:t>年度中国科学院杰出科技成就奖（科技攻关奖）</w:t>
      </w:r>
      <w:r>
        <w:rPr>
          <w:rFonts w:hint="eastAsia" w:ascii="Times New Roman" w:hAnsi="Times New Roman" w:eastAsia="楷体" w:cs="Times New Roman"/>
          <w:b/>
          <w:sz w:val="36"/>
          <w:szCs w:val="32"/>
        </w:rPr>
        <w:t>）</w:t>
      </w:r>
    </w:p>
    <w:p w14:paraId="6D468EDA">
      <w:pPr>
        <w:spacing w:before="312" w:beforeLines="100" w:after="156" w:afterLines="50" w:line="520" w:lineRule="exact"/>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（推荐单位:</w:t>
      </w:r>
      <w:r>
        <w:rPr>
          <w:rFonts w:hint="eastAsia" w:ascii="Times New Roman" w:hAnsi="Times New Roman" w:eastAsia="仿宋_GB2312"/>
          <w:sz w:val="32"/>
          <w:szCs w:val="28"/>
        </w:rPr>
        <w:t xml:space="preserve"> 中国科学院赣江创新研究院</w:t>
      </w:r>
      <w:r>
        <w:rPr>
          <w:rFonts w:hint="eastAsia" w:ascii="Times New Roman" w:hAnsi="Times New Roman" w:eastAsia="楷体" w:cs="Times New Roman"/>
          <w:b/>
          <w:sz w:val="36"/>
          <w:szCs w:val="32"/>
        </w:rPr>
        <w:t>）</w:t>
      </w:r>
    </w:p>
    <w:p w14:paraId="46E34299">
      <w:pPr>
        <w:pStyle w:val="15"/>
        <w:numPr>
          <w:ilvl w:val="0"/>
          <w:numId w:val="1"/>
        </w:numPr>
        <w:spacing w:before="156" w:beforeLines="50" w:line="560" w:lineRule="exact"/>
        <w:ind w:firstLineChars="0"/>
        <w:rPr>
          <w:rFonts w:ascii="Times New Roman" w:hAnsi="Times New Roman" w:eastAsia="楷体" w:cs="Times New Roman"/>
          <w:sz w:val="32"/>
          <w:szCs w:val="32"/>
        </w:rPr>
      </w:pPr>
      <w:r>
        <w:rPr>
          <w:rFonts w:hint="eastAsia" w:ascii="Times New Roman" w:hAnsi="Times New Roman" w:eastAsia="楷体" w:cs="Times New Roman"/>
          <w:b/>
          <w:sz w:val="32"/>
          <w:szCs w:val="32"/>
        </w:rPr>
        <w:t>推荐意见</w:t>
      </w:r>
      <w:r>
        <w:rPr>
          <w:rFonts w:hint="eastAsia" w:ascii="Times New Roman" w:hAnsi="Times New Roman" w:eastAsia="楷体" w:cs="Times New Roman"/>
          <w:sz w:val="32"/>
          <w:szCs w:val="32"/>
        </w:rPr>
        <w:t>（不超过300字）</w:t>
      </w:r>
    </w:p>
    <w:p w14:paraId="108064E7">
      <w:pPr>
        <w:pStyle w:val="15"/>
        <w:spacing w:line="360" w:lineRule="auto"/>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面向国家关键金属资源产业链安全保障与自主可控的重大战略需求，项目</w:t>
      </w:r>
      <w:r>
        <w:rPr>
          <w:rFonts w:ascii="Times New Roman" w:hAnsi="Times New Roman" w:eastAsia="宋体" w:cs="Times New Roman"/>
          <w:sz w:val="28"/>
          <w:szCs w:val="28"/>
        </w:rPr>
        <w:t>团队确立了稀土、锂、铬等资源高效利用与污染物源头消减</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资源环境一体化技术路线，</w:t>
      </w:r>
      <w:r>
        <w:rPr>
          <w:rFonts w:hint="eastAsia" w:ascii="Times New Roman" w:hAnsi="Times New Roman" w:eastAsia="宋体" w:cs="Times New Roman"/>
          <w:sz w:val="28"/>
          <w:szCs w:val="28"/>
        </w:rPr>
        <w:t>突破了非常规介质多金属高效转化—选择性分离—介质再生循环等系列关键共性技术，</w:t>
      </w:r>
      <w:r>
        <w:rPr>
          <w:rFonts w:ascii="Times New Roman" w:hAnsi="Times New Roman" w:eastAsia="宋体" w:cs="Times New Roman"/>
          <w:sz w:val="28"/>
          <w:szCs w:val="28"/>
        </w:rPr>
        <w:t>构建了从技术原型-技术示范-产业化应用的系统性创新体系</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完成</w:t>
      </w:r>
      <w:r>
        <w:rPr>
          <w:rFonts w:hint="eastAsia" w:ascii="Times New Roman" w:hAnsi="Times New Roman" w:eastAsia="宋体" w:cs="Times New Roman"/>
          <w:sz w:val="28"/>
          <w:szCs w:val="28"/>
        </w:rPr>
        <w:t>多项</w:t>
      </w:r>
      <w:r>
        <w:rPr>
          <w:rFonts w:ascii="Times New Roman" w:hAnsi="Times New Roman" w:eastAsia="宋体" w:cs="Times New Roman"/>
          <w:sz w:val="28"/>
          <w:szCs w:val="28"/>
        </w:rPr>
        <w:t>大规模产业化应用</w:t>
      </w:r>
      <w:r>
        <w:rPr>
          <w:rFonts w:hint="eastAsia" w:ascii="Times New Roman" w:hAnsi="Times New Roman" w:eastAsia="宋体" w:cs="Times New Roman"/>
          <w:sz w:val="28"/>
          <w:szCs w:val="28"/>
        </w:rPr>
        <w:t>，取得了显著的经济社会效益</w:t>
      </w:r>
      <w:r>
        <w:rPr>
          <w:rFonts w:ascii="Times New Roman" w:hAnsi="Times New Roman" w:eastAsia="宋体" w:cs="Times New Roman"/>
          <w:sz w:val="28"/>
          <w:szCs w:val="28"/>
        </w:rPr>
        <w:t>。该团队为我国关键金属</w:t>
      </w:r>
      <w:r>
        <w:rPr>
          <w:rFonts w:hint="eastAsia" w:ascii="Times New Roman" w:hAnsi="Times New Roman" w:eastAsia="宋体" w:cs="Times New Roman"/>
          <w:sz w:val="28"/>
          <w:szCs w:val="28"/>
        </w:rPr>
        <w:t>资源</w:t>
      </w:r>
      <w:r>
        <w:rPr>
          <w:rFonts w:ascii="Times New Roman" w:hAnsi="Times New Roman" w:eastAsia="宋体" w:cs="Times New Roman"/>
          <w:sz w:val="28"/>
          <w:szCs w:val="28"/>
        </w:rPr>
        <w:t>绿色高效利用</w:t>
      </w:r>
      <w:r>
        <w:rPr>
          <w:rFonts w:hint="eastAsia" w:ascii="Times New Roman" w:hAnsi="Times New Roman" w:eastAsia="宋体" w:cs="Times New Roman"/>
          <w:sz w:val="28"/>
          <w:szCs w:val="28"/>
        </w:rPr>
        <w:t>新</w:t>
      </w:r>
      <w:r>
        <w:rPr>
          <w:rFonts w:ascii="Times New Roman" w:hAnsi="Times New Roman" w:eastAsia="宋体" w:cs="Times New Roman"/>
          <w:sz w:val="28"/>
          <w:szCs w:val="28"/>
        </w:rPr>
        <w:t>技术的跨越式发展做出了</w:t>
      </w:r>
      <w:r>
        <w:rPr>
          <w:rFonts w:hint="eastAsia" w:ascii="Times New Roman" w:hAnsi="Times New Roman" w:eastAsia="宋体" w:cs="Times New Roman"/>
          <w:sz w:val="28"/>
          <w:szCs w:val="28"/>
        </w:rPr>
        <w:t>重要</w:t>
      </w:r>
      <w:r>
        <w:rPr>
          <w:rFonts w:ascii="Times New Roman" w:hAnsi="Times New Roman" w:eastAsia="宋体" w:cs="Times New Roman"/>
          <w:sz w:val="28"/>
          <w:szCs w:val="28"/>
        </w:rPr>
        <w:t>贡献。</w:t>
      </w:r>
    </w:p>
    <w:p w14:paraId="408B06CD">
      <w:pPr>
        <w:pStyle w:val="15"/>
        <w:spacing w:before="312" w:beforeLines="100" w:line="360" w:lineRule="auto"/>
        <w:ind w:firstLine="560"/>
        <w:rPr>
          <w:rFonts w:ascii="Times New Roman" w:hAnsi="Times New Roman" w:eastAsia="宋体" w:cs="Times New Roman"/>
          <w:sz w:val="28"/>
          <w:szCs w:val="28"/>
        </w:rPr>
      </w:pPr>
      <w:r>
        <w:rPr>
          <w:rFonts w:ascii="Times New Roman" w:hAnsi="Times New Roman" w:eastAsia="宋体" w:cs="Times New Roman"/>
          <w:sz w:val="28"/>
          <w:szCs w:val="28"/>
        </w:rPr>
        <w:t>我单位推荐“</w:t>
      </w:r>
      <w:r>
        <w:rPr>
          <w:rFonts w:hint="eastAsia" w:ascii="Times New Roman" w:hAnsi="Times New Roman" w:eastAsia="宋体" w:cs="Times New Roman"/>
          <w:sz w:val="28"/>
          <w:szCs w:val="28"/>
        </w:rPr>
        <w:t>关键金属资源绿色高效利用技术与应用</w:t>
      </w:r>
      <w:r>
        <w:rPr>
          <w:rFonts w:ascii="Times New Roman" w:hAnsi="Times New Roman" w:eastAsia="宋体" w:cs="Times New Roman"/>
          <w:sz w:val="28"/>
          <w:szCs w:val="28"/>
        </w:rPr>
        <w:t>”为中国科学院杰出科技成就奖（科技</w:t>
      </w:r>
      <w:r>
        <w:rPr>
          <w:rFonts w:hint="eastAsia" w:ascii="Times New Roman" w:hAnsi="Times New Roman" w:eastAsia="宋体" w:cs="Times New Roman"/>
          <w:sz w:val="28"/>
          <w:szCs w:val="28"/>
        </w:rPr>
        <w:t>攻关</w:t>
      </w:r>
      <w:r>
        <w:rPr>
          <w:rFonts w:ascii="Times New Roman" w:hAnsi="Times New Roman" w:eastAsia="宋体" w:cs="Times New Roman"/>
          <w:sz w:val="28"/>
          <w:szCs w:val="28"/>
        </w:rPr>
        <w:t>奖）候选者。</w:t>
      </w:r>
    </w:p>
    <w:p w14:paraId="177EB5BC">
      <w:pPr>
        <w:pStyle w:val="15"/>
        <w:numPr>
          <w:ilvl w:val="0"/>
          <w:numId w:val="1"/>
        </w:numPr>
        <w:spacing w:before="156" w:beforeLines="50" w:line="560" w:lineRule="exact"/>
        <w:ind w:firstLineChars="0"/>
        <w:rPr>
          <w:rFonts w:ascii="Times New Roman" w:hAnsi="Times New Roman" w:eastAsia="楷体" w:cs="Times New Roman"/>
          <w:bCs/>
          <w:sz w:val="32"/>
          <w:szCs w:val="32"/>
        </w:rPr>
      </w:pPr>
      <w:r>
        <w:rPr>
          <w:rFonts w:hint="eastAsia" w:ascii="Times New Roman" w:hAnsi="Times New Roman" w:eastAsia="楷体" w:cs="Times New Roman"/>
          <w:b/>
          <w:sz w:val="32"/>
          <w:szCs w:val="32"/>
        </w:rPr>
        <w:t>主要发明专利列表</w:t>
      </w:r>
    </w:p>
    <w:tbl>
      <w:tblPr>
        <w:tblStyle w:val="6"/>
        <w:tblW w:w="53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02"/>
        <w:gridCol w:w="696"/>
        <w:gridCol w:w="2131"/>
        <w:gridCol w:w="1302"/>
        <w:gridCol w:w="2033"/>
        <w:gridCol w:w="749"/>
      </w:tblGrid>
      <w:tr w14:paraId="2AD1C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0951C34A">
            <w:pPr>
              <w:pStyle w:val="2"/>
              <w:spacing w:line="390" w:lineRule="exact"/>
              <w:ind w:firstLine="0" w:firstLineChars="0"/>
              <w:jc w:val="center"/>
              <w:rPr>
                <w:rFonts w:ascii="Times New Roman"/>
                <w:color w:val="000000"/>
                <w:szCs w:val="24"/>
              </w:rPr>
            </w:pPr>
            <w:r>
              <w:rPr>
                <w:rFonts w:ascii="Times New Roman"/>
                <w:color w:val="000000"/>
                <w:szCs w:val="24"/>
              </w:rPr>
              <w:t>序号</w:t>
            </w:r>
          </w:p>
        </w:tc>
        <w:tc>
          <w:tcPr>
            <w:tcW w:w="939" w:type="pct"/>
            <w:vAlign w:val="center"/>
          </w:tcPr>
          <w:p w14:paraId="20BDA6E8">
            <w:pPr>
              <w:pStyle w:val="2"/>
              <w:spacing w:line="390" w:lineRule="exact"/>
              <w:ind w:firstLine="0" w:firstLineChars="0"/>
              <w:jc w:val="center"/>
              <w:rPr>
                <w:rFonts w:ascii="Times New Roman"/>
                <w:color w:val="000000"/>
                <w:szCs w:val="24"/>
              </w:rPr>
            </w:pPr>
            <w:r>
              <w:rPr>
                <w:rFonts w:ascii="Times New Roman"/>
                <w:color w:val="000000"/>
                <w:szCs w:val="24"/>
              </w:rPr>
              <w:t>发明专利名称</w:t>
            </w:r>
          </w:p>
        </w:tc>
        <w:tc>
          <w:tcPr>
            <w:tcW w:w="384" w:type="pct"/>
            <w:vAlign w:val="center"/>
          </w:tcPr>
          <w:p w14:paraId="26B8CE87">
            <w:pPr>
              <w:pStyle w:val="2"/>
              <w:spacing w:line="390" w:lineRule="exact"/>
              <w:ind w:firstLine="0" w:firstLineChars="0"/>
              <w:jc w:val="center"/>
              <w:rPr>
                <w:rFonts w:ascii="Times New Roman"/>
                <w:color w:val="000000"/>
                <w:szCs w:val="24"/>
              </w:rPr>
            </w:pPr>
            <w:r>
              <w:rPr>
                <w:rFonts w:ascii="Times New Roman"/>
                <w:color w:val="000000"/>
                <w:szCs w:val="24"/>
              </w:rPr>
              <w:t>国家</w:t>
            </w:r>
          </w:p>
          <w:p w14:paraId="1AD7C605">
            <w:pPr>
              <w:pStyle w:val="2"/>
              <w:spacing w:line="390" w:lineRule="exact"/>
              <w:ind w:firstLine="0" w:firstLineChars="0"/>
              <w:jc w:val="center"/>
              <w:rPr>
                <w:rFonts w:ascii="Times New Roman"/>
                <w:color w:val="000000"/>
                <w:szCs w:val="24"/>
              </w:rPr>
            </w:pPr>
            <w:r>
              <w:rPr>
                <w:rFonts w:ascii="Times New Roman"/>
                <w:color w:val="000000"/>
                <w:szCs w:val="24"/>
              </w:rPr>
              <w:t>（地区）</w:t>
            </w:r>
          </w:p>
        </w:tc>
        <w:tc>
          <w:tcPr>
            <w:tcW w:w="1174" w:type="pct"/>
            <w:vAlign w:val="center"/>
          </w:tcPr>
          <w:p w14:paraId="62D47166">
            <w:pPr>
              <w:pStyle w:val="2"/>
              <w:spacing w:line="390" w:lineRule="exact"/>
              <w:ind w:firstLine="0" w:firstLineChars="0"/>
              <w:jc w:val="center"/>
              <w:rPr>
                <w:rFonts w:ascii="Times New Roman"/>
                <w:color w:val="000000"/>
                <w:szCs w:val="24"/>
              </w:rPr>
            </w:pPr>
            <w:r>
              <w:rPr>
                <w:rFonts w:ascii="Times New Roman"/>
                <w:color w:val="000000"/>
                <w:szCs w:val="24"/>
              </w:rPr>
              <w:t>授权号</w:t>
            </w:r>
          </w:p>
        </w:tc>
        <w:tc>
          <w:tcPr>
            <w:tcW w:w="717" w:type="pct"/>
            <w:vAlign w:val="center"/>
          </w:tcPr>
          <w:p w14:paraId="0B0F501E">
            <w:pPr>
              <w:pStyle w:val="2"/>
              <w:spacing w:line="390" w:lineRule="exact"/>
              <w:ind w:firstLine="0" w:firstLineChars="0"/>
              <w:jc w:val="center"/>
              <w:rPr>
                <w:rFonts w:ascii="Times New Roman"/>
                <w:color w:val="000000"/>
                <w:szCs w:val="24"/>
              </w:rPr>
            </w:pPr>
            <w:r>
              <w:rPr>
                <w:rFonts w:ascii="Times New Roman"/>
                <w:color w:val="000000"/>
                <w:szCs w:val="24"/>
              </w:rPr>
              <w:t>授权日期</w:t>
            </w:r>
          </w:p>
        </w:tc>
        <w:tc>
          <w:tcPr>
            <w:tcW w:w="1121" w:type="pct"/>
            <w:vAlign w:val="center"/>
          </w:tcPr>
          <w:p w14:paraId="65813E40">
            <w:pPr>
              <w:pStyle w:val="2"/>
              <w:spacing w:line="390" w:lineRule="exact"/>
              <w:ind w:firstLine="0" w:firstLineChars="0"/>
              <w:jc w:val="center"/>
              <w:rPr>
                <w:rFonts w:ascii="Times New Roman"/>
                <w:color w:val="000000"/>
                <w:szCs w:val="24"/>
              </w:rPr>
            </w:pPr>
            <w:r>
              <w:rPr>
                <w:rFonts w:ascii="Times New Roman"/>
                <w:color w:val="000000"/>
                <w:szCs w:val="24"/>
              </w:rPr>
              <w:t>发明人</w:t>
            </w:r>
          </w:p>
        </w:tc>
        <w:tc>
          <w:tcPr>
            <w:tcW w:w="413" w:type="pct"/>
            <w:vAlign w:val="center"/>
          </w:tcPr>
          <w:p w14:paraId="2A3E15A9">
            <w:pPr>
              <w:pStyle w:val="2"/>
              <w:spacing w:line="390" w:lineRule="exact"/>
              <w:ind w:firstLine="0" w:firstLineChars="0"/>
              <w:jc w:val="center"/>
              <w:rPr>
                <w:rFonts w:ascii="Times New Roman"/>
                <w:color w:val="000000"/>
                <w:sz w:val="21"/>
                <w:szCs w:val="21"/>
              </w:rPr>
            </w:pPr>
            <w:r>
              <w:rPr>
                <w:rFonts w:ascii="Times New Roman"/>
                <w:color w:val="000000"/>
                <w:sz w:val="21"/>
                <w:szCs w:val="21"/>
              </w:rPr>
              <w:t>发明专利有效状态</w:t>
            </w:r>
          </w:p>
        </w:tc>
      </w:tr>
      <w:tr w14:paraId="359AF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3228E4A6">
            <w:pPr>
              <w:pStyle w:val="2"/>
              <w:spacing w:line="390" w:lineRule="exact"/>
              <w:ind w:firstLine="0" w:firstLineChars="0"/>
              <w:jc w:val="center"/>
              <w:rPr>
                <w:rFonts w:ascii="Times New Roman"/>
                <w:color w:val="000000"/>
                <w:szCs w:val="24"/>
              </w:rPr>
            </w:pPr>
            <w:r>
              <w:rPr>
                <w:rFonts w:hint="eastAsia" w:ascii="Times New Roman"/>
                <w:color w:val="000000"/>
                <w:szCs w:val="24"/>
              </w:rPr>
              <w:t>1</w:t>
            </w:r>
          </w:p>
        </w:tc>
        <w:tc>
          <w:tcPr>
            <w:tcW w:w="939" w:type="pct"/>
            <w:vAlign w:val="center"/>
          </w:tcPr>
          <w:p w14:paraId="65D890D7">
            <w:pPr>
              <w:pStyle w:val="2"/>
              <w:spacing w:line="390" w:lineRule="exact"/>
              <w:ind w:firstLine="0" w:firstLineChars="0"/>
              <w:jc w:val="center"/>
              <w:rPr>
                <w:rFonts w:ascii="Times New Roman"/>
                <w:color w:val="000000"/>
                <w:szCs w:val="24"/>
              </w:rPr>
            </w:pPr>
            <w:r>
              <w:rPr>
                <w:rFonts w:hint="eastAsia" w:ascii="Times New Roman"/>
                <w:color w:val="000000"/>
                <w:szCs w:val="24"/>
              </w:rPr>
              <w:t>一种萃取剂及其在锂铷铯提取中的应用</w:t>
            </w:r>
          </w:p>
        </w:tc>
        <w:tc>
          <w:tcPr>
            <w:tcW w:w="384" w:type="pct"/>
            <w:vAlign w:val="center"/>
          </w:tcPr>
          <w:p w14:paraId="40396E75">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764F5CFC">
            <w:pPr>
              <w:pStyle w:val="2"/>
              <w:spacing w:line="390" w:lineRule="exact"/>
              <w:ind w:firstLine="0" w:firstLineChars="0"/>
              <w:jc w:val="center"/>
              <w:rPr>
                <w:rFonts w:ascii="Times New Roman"/>
                <w:color w:val="000000"/>
                <w:szCs w:val="24"/>
              </w:rPr>
            </w:pPr>
            <w:r>
              <w:rPr>
                <w:rFonts w:ascii="Times New Roman"/>
                <w:color w:val="000000"/>
                <w:szCs w:val="24"/>
              </w:rPr>
              <w:t>ZL202110967573.1</w:t>
            </w:r>
          </w:p>
        </w:tc>
        <w:tc>
          <w:tcPr>
            <w:tcW w:w="717" w:type="pct"/>
            <w:vAlign w:val="center"/>
          </w:tcPr>
          <w:p w14:paraId="5DAF319F">
            <w:pPr>
              <w:pStyle w:val="2"/>
              <w:spacing w:line="390" w:lineRule="exact"/>
              <w:ind w:firstLine="0" w:firstLineChars="0"/>
              <w:jc w:val="center"/>
              <w:rPr>
                <w:rFonts w:ascii="Times New Roman"/>
                <w:color w:val="000000"/>
                <w:szCs w:val="24"/>
              </w:rPr>
            </w:pPr>
            <w:r>
              <w:rPr>
                <w:rFonts w:ascii="Times New Roman"/>
                <w:color w:val="000000"/>
                <w:szCs w:val="24"/>
              </w:rPr>
              <w:t>2025/3/11</w:t>
            </w:r>
          </w:p>
        </w:tc>
        <w:tc>
          <w:tcPr>
            <w:tcW w:w="1121" w:type="pct"/>
            <w:vAlign w:val="center"/>
          </w:tcPr>
          <w:p w14:paraId="250F8731">
            <w:pPr>
              <w:pStyle w:val="2"/>
              <w:spacing w:line="390" w:lineRule="exact"/>
              <w:ind w:firstLine="0" w:firstLineChars="0"/>
              <w:jc w:val="left"/>
              <w:rPr>
                <w:rFonts w:ascii="Times New Roman"/>
                <w:color w:val="000000"/>
                <w:szCs w:val="24"/>
              </w:rPr>
            </w:pPr>
            <w:r>
              <w:rPr>
                <w:rFonts w:hint="eastAsia" w:ascii="Times New Roman"/>
                <w:color w:val="000000"/>
                <w:szCs w:val="24"/>
              </w:rPr>
              <w:t>齐涛、苏慧、张健、刘文森、王丽娜、朱兆武</w:t>
            </w:r>
          </w:p>
        </w:tc>
        <w:tc>
          <w:tcPr>
            <w:tcW w:w="413" w:type="pct"/>
            <w:vAlign w:val="center"/>
          </w:tcPr>
          <w:p w14:paraId="5FC221E4">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22ECA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5FCB7B3C">
            <w:pPr>
              <w:pStyle w:val="2"/>
              <w:spacing w:line="390" w:lineRule="exact"/>
              <w:ind w:firstLine="0" w:firstLineChars="0"/>
              <w:jc w:val="center"/>
              <w:rPr>
                <w:rFonts w:ascii="Times New Roman"/>
                <w:color w:val="000000"/>
                <w:szCs w:val="24"/>
              </w:rPr>
            </w:pPr>
            <w:r>
              <w:rPr>
                <w:rFonts w:hint="eastAsia" w:ascii="Times New Roman"/>
                <w:color w:val="000000"/>
                <w:szCs w:val="24"/>
              </w:rPr>
              <w:t>2</w:t>
            </w:r>
          </w:p>
        </w:tc>
        <w:tc>
          <w:tcPr>
            <w:tcW w:w="939" w:type="pct"/>
            <w:vAlign w:val="center"/>
          </w:tcPr>
          <w:p w14:paraId="1C438E6E">
            <w:pPr>
              <w:pStyle w:val="2"/>
              <w:spacing w:line="390" w:lineRule="exact"/>
              <w:ind w:firstLine="0" w:firstLineChars="0"/>
              <w:jc w:val="center"/>
              <w:rPr>
                <w:rFonts w:ascii="Times New Roman"/>
                <w:color w:val="000000"/>
                <w:szCs w:val="24"/>
              </w:rPr>
            </w:pPr>
            <w:r>
              <w:rPr>
                <w:rFonts w:hint="eastAsia" w:ascii="Times New Roman"/>
                <w:color w:val="000000"/>
                <w:szCs w:val="24"/>
              </w:rPr>
              <w:t>一种用于从含锂卤水中提取锂的萃取体系及其应用</w:t>
            </w:r>
          </w:p>
        </w:tc>
        <w:tc>
          <w:tcPr>
            <w:tcW w:w="384" w:type="pct"/>
            <w:vAlign w:val="center"/>
          </w:tcPr>
          <w:p w14:paraId="66BBDF6F">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50779E7C">
            <w:pPr>
              <w:pStyle w:val="2"/>
              <w:spacing w:line="390" w:lineRule="exact"/>
              <w:ind w:firstLine="0" w:firstLineChars="0"/>
              <w:jc w:val="center"/>
              <w:rPr>
                <w:rFonts w:ascii="Times New Roman"/>
                <w:color w:val="000000"/>
                <w:szCs w:val="24"/>
              </w:rPr>
            </w:pPr>
            <w:r>
              <w:rPr>
                <w:rFonts w:ascii="Times New Roman"/>
                <w:color w:val="000000"/>
                <w:szCs w:val="24"/>
              </w:rPr>
              <w:t>ZL202310607875.7</w:t>
            </w:r>
          </w:p>
        </w:tc>
        <w:tc>
          <w:tcPr>
            <w:tcW w:w="717" w:type="pct"/>
            <w:vAlign w:val="center"/>
          </w:tcPr>
          <w:p w14:paraId="1807C9E0">
            <w:pPr>
              <w:pStyle w:val="2"/>
              <w:spacing w:line="390" w:lineRule="exact"/>
              <w:ind w:firstLine="0" w:firstLineChars="0"/>
              <w:jc w:val="center"/>
              <w:rPr>
                <w:rFonts w:ascii="Times New Roman"/>
                <w:color w:val="000000"/>
                <w:szCs w:val="24"/>
              </w:rPr>
            </w:pPr>
            <w:r>
              <w:rPr>
                <w:rFonts w:ascii="Times New Roman"/>
                <w:color w:val="000000"/>
                <w:szCs w:val="24"/>
              </w:rPr>
              <w:t>2025/9/23</w:t>
            </w:r>
          </w:p>
        </w:tc>
        <w:tc>
          <w:tcPr>
            <w:tcW w:w="1121" w:type="pct"/>
            <w:vAlign w:val="center"/>
          </w:tcPr>
          <w:p w14:paraId="7DD84D25">
            <w:pPr>
              <w:widowControl/>
              <w:jc w:val="left"/>
              <w:rPr>
                <w:kern w:val="0"/>
                <w:sz w:val="24"/>
                <w:szCs w:val="24"/>
              </w:rPr>
            </w:pPr>
            <w:r>
              <w:rPr>
                <w:rFonts w:hint="eastAsia"/>
                <w:sz w:val="24"/>
                <w:szCs w:val="24"/>
              </w:rPr>
              <w:t>朱兆武、苏慧、刘文森、齐涛、林道勇</w:t>
            </w:r>
          </w:p>
        </w:tc>
        <w:tc>
          <w:tcPr>
            <w:tcW w:w="413" w:type="pct"/>
            <w:vAlign w:val="center"/>
          </w:tcPr>
          <w:p w14:paraId="6E147C2D">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00C86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52" w:type="pct"/>
            <w:vAlign w:val="center"/>
          </w:tcPr>
          <w:p w14:paraId="4A158C64">
            <w:pPr>
              <w:pStyle w:val="2"/>
              <w:spacing w:line="390" w:lineRule="exact"/>
              <w:ind w:firstLine="0" w:firstLineChars="0"/>
              <w:jc w:val="center"/>
              <w:rPr>
                <w:rFonts w:ascii="Times New Roman"/>
                <w:color w:val="000000"/>
                <w:szCs w:val="24"/>
              </w:rPr>
            </w:pPr>
            <w:r>
              <w:rPr>
                <w:rFonts w:hint="eastAsia" w:ascii="Times New Roman"/>
                <w:color w:val="000000"/>
                <w:szCs w:val="24"/>
              </w:rPr>
              <w:t>3</w:t>
            </w:r>
          </w:p>
        </w:tc>
        <w:tc>
          <w:tcPr>
            <w:tcW w:w="939" w:type="pct"/>
            <w:vAlign w:val="center"/>
          </w:tcPr>
          <w:p w14:paraId="37B7B4DE">
            <w:pPr>
              <w:pStyle w:val="2"/>
              <w:spacing w:line="390" w:lineRule="exact"/>
              <w:ind w:firstLine="0" w:firstLineChars="0"/>
              <w:jc w:val="center"/>
              <w:rPr>
                <w:rFonts w:ascii="Times New Roman"/>
                <w:color w:val="000000"/>
                <w:szCs w:val="24"/>
              </w:rPr>
            </w:pPr>
            <w:r>
              <w:rPr>
                <w:rFonts w:hint="eastAsia" w:ascii="Times New Roman"/>
                <w:color w:val="000000"/>
                <w:szCs w:val="24"/>
              </w:rPr>
              <w:t>一种从盐湖卤水中去除镁的方法</w:t>
            </w:r>
          </w:p>
        </w:tc>
        <w:tc>
          <w:tcPr>
            <w:tcW w:w="384" w:type="pct"/>
            <w:vAlign w:val="center"/>
          </w:tcPr>
          <w:p w14:paraId="1DA268A4">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7A9513B2">
            <w:pPr>
              <w:pStyle w:val="2"/>
              <w:spacing w:line="390" w:lineRule="exact"/>
              <w:ind w:firstLine="0" w:firstLineChars="0"/>
              <w:jc w:val="center"/>
              <w:rPr>
                <w:rFonts w:ascii="Times New Roman"/>
                <w:color w:val="000000"/>
                <w:szCs w:val="24"/>
              </w:rPr>
            </w:pPr>
            <w:r>
              <w:rPr>
                <w:rFonts w:ascii="Times New Roman"/>
                <w:color w:val="000000"/>
                <w:szCs w:val="24"/>
              </w:rPr>
              <w:t>ZL202210422987.0</w:t>
            </w:r>
          </w:p>
        </w:tc>
        <w:tc>
          <w:tcPr>
            <w:tcW w:w="717" w:type="pct"/>
            <w:vAlign w:val="center"/>
          </w:tcPr>
          <w:p w14:paraId="442195BD">
            <w:pPr>
              <w:widowControl/>
              <w:jc w:val="center"/>
              <w:rPr>
                <w:rFonts w:ascii="Times New Roman" w:hAnsi="Times New Roman" w:eastAsia="等线" w:cs="Times New Roman"/>
                <w:kern w:val="0"/>
                <w:sz w:val="24"/>
                <w:szCs w:val="24"/>
              </w:rPr>
            </w:pPr>
            <w:r>
              <w:rPr>
                <w:rFonts w:ascii="Times New Roman" w:hAnsi="Times New Roman" w:eastAsia="等线" w:cs="Times New Roman"/>
                <w:sz w:val="24"/>
                <w:szCs w:val="24"/>
              </w:rPr>
              <w:t>2025/3/14</w:t>
            </w:r>
          </w:p>
        </w:tc>
        <w:tc>
          <w:tcPr>
            <w:tcW w:w="1121" w:type="pct"/>
            <w:vAlign w:val="center"/>
          </w:tcPr>
          <w:p w14:paraId="577A5A16">
            <w:pPr>
              <w:pStyle w:val="2"/>
              <w:spacing w:line="390" w:lineRule="exact"/>
              <w:ind w:firstLine="0" w:firstLineChars="0"/>
              <w:jc w:val="left"/>
              <w:rPr>
                <w:rFonts w:ascii="Times New Roman"/>
                <w:color w:val="000000"/>
                <w:szCs w:val="24"/>
              </w:rPr>
            </w:pPr>
            <w:r>
              <w:rPr>
                <w:rFonts w:hint="eastAsia" w:ascii="Times New Roman"/>
                <w:color w:val="000000"/>
                <w:szCs w:val="24"/>
              </w:rPr>
              <w:t>朱兆武、张健、齐涛</w:t>
            </w:r>
          </w:p>
        </w:tc>
        <w:tc>
          <w:tcPr>
            <w:tcW w:w="413" w:type="pct"/>
            <w:vAlign w:val="center"/>
          </w:tcPr>
          <w:p w14:paraId="0BDEE373">
            <w:pPr>
              <w:pStyle w:val="2"/>
              <w:spacing w:line="390" w:lineRule="exact"/>
              <w:ind w:firstLine="0" w:firstLineChars="0"/>
              <w:jc w:val="center"/>
              <w:rPr>
                <w:rFonts w:ascii="Times New Roman"/>
                <w:color w:val="000000"/>
                <w:sz w:val="21"/>
                <w:szCs w:val="21"/>
                <w:highlight w:val="yellow"/>
              </w:rPr>
            </w:pPr>
            <w:r>
              <w:rPr>
                <w:rFonts w:hint="eastAsia" w:ascii="Times New Roman"/>
                <w:color w:val="000000"/>
                <w:sz w:val="21"/>
                <w:szCs w:val="21"/>
              </w:rPr>
              <w:t>有效</w:t>
            </w:r>
          </w:p>
        </w:tc>
      </w:tr>
      <w:tr w14:paraId="5CBA4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3E07439C">
            <w:pPr>
              <w:pStyle w:val="2"/>
              <w:spacing w:line="390" w:lineRule="exact"/>
              <w:ind w:firstLine="0" w:firstLineChars="0"/>
              <w:jc w:val="center"/>
              <w:rPr>
                <w:rFonts w:ascii="Times New Roman"/>
                <w:color w:val="000000"/>
                <w:szCs w:val="24"/>
              </w:rPr>
            </w:pPr>
            <w:r>
              <w:rPr>
                <w:rFonts w:hint="eastAsia" w:ascii="Times New Roman"/>
                <w:color w:val="000000"/>
                <w:szCs w:val="24"/>
              </w:rPr>
              <w:t>4</w:t>
            </w:r>
          </w:p>
        </w:tc>
        <w:tc>
          <w:tcPr>
            <w:tcW w:w="939" w:type="pct"/>
            <w:vAlign w:val="center"/>
          </w:tcPr>
          <w:p w14:paraId="37B9878C">
            <w:pPr>
              <w:pStyle w:val="2"/>
              <w:spacing w:line="390" w:lineRule="exact"/>
              <w:ind w:firstLine="0" w:firstLineChars="0"/>
              <w:jc w:val="center"/>
              <w:rPr>
                <w:rFonts w:ascii="Times New Roman"/>
                <w:color w:val="000000"/>
                <w:szCs w:val="24"/>
              </w:rPr>
            </w:pPr>
            <w:r>
              <w:rPr>
                <w:rFonts w:hint="eastAsia" w:ascii="Times New Roman"/>
                <w:color w:val="000000"/>
                <w:szCs w:val="24"/>
              </w:rPr>
              <w:t>一种用脉冲萃取塔分离纯化铷铯的方法</w:t>
            </w:r>
          </w:p>
        </w:tc>
        <w:tc>
          <w:tcPr>
            <w:tcW w:w="384" w:type="pct"/>
            <w:vAlign w:val="center"/>
          </w:tcPr>
          <w:p w14:paraId="6391D176">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6C1D8045">
            <w:pPr>
              <w:pStyle w:val="2"/>
              <w:spacing w:line="390" w:lineRule="exact"/>
              <w:ind w:firstLine="0" w:firstLineChars="0"/>
              <w:jc w:val="center"/>
              <w:rPr>
                <w:rFonts w:ascii="Times New Roman"/>
                <w:color w:val="000000"/>
                <w:szCs w:val="24"/>
              </w:rPr>
            </w:pPr>
            <w:r>
              <w:rPr>
                <w:rFonts w:ascii="Times New Roman"/>
                <w:color w:val="000000"/>
                <w:szCs w:val="24"/>
              </w:rPr>
              <w:t>ZL202310895890.6</w:t>
            </w:r>
          </w:p>
        </w:tc>
        <w:tc>
          <w:tcPr>
            <w:tcW w:w="717" w:type="pct"/>
            <w:vAlign w:val="center"/>
          </w:tcPr>
          <w:p w14:paraId="42CEC031">
            <w:pPr>
              <w:pStyle w:val="2"/>
              <w:spacing w:line="390" w:lineRule="exact"/>
              <w:ind w:firstLine="0" w:firstLineChars="0"/>
              <w:jc w:val="center"/>
              <w:rPr>
                <w:rFonts w:ascii="Times New Roman"/>
                <w:color w:val="000000"/>
                <w:szCs w:val="24"/>
              </w:rPr>
            </w:pPr>
            <w:r>
              <w:rPr>
                <w:rFonts w:ascii="Times New Roman"/>
                <w:color w:val="000000"/>
                <w:szCs w:val="24"/>
              </w:rPr>
              <w:t>2025/5/30</w:t>
            </w:r>
          </w:p>
        </w:tc>
        <w:tc>
          <w:tcPr>
            <w:tcW w:w="1121" w:type="pct"/>
            <w:vAlign w:val="center"/>
          </w:tcPr>
          <w:p w14:paraId="10AFEBA6">
            <w:pPr>
              <w:pStyle w:val="2"/>
              <w:spacing w:line="390" w:lineRule="exact"/>
              <w:ind w:firstLine="0" w:firstLineChars="0"/>
              <w:jc w:val="left"/>
              <w:rPr>
                <w:rFonts w:ascii="Times New Roman"/>
                <w:color w:val="000000"/>
                <w:szCs w:val="24"/>
              </w:rPr>
            </w:pPr>
            <w:r>
              <w:rPr>
                <w:rFonts w:hint="eastAsia" w:ascii="Times New Roman"/>
                <w:color w:val="000000"/>
                <w:szCs w:val="24"/>
              </w:rPr>
              <w:t>王勇、谭博仁、许东兵、齐涛</w:t>
            </w:r>
          </w:p>
        </w:tc>
        <w:tc>
          <w:tcPr>
            <w:tcW w:w="413" w:type="pct"/>
            <w:vAlign w:val="center"/>
          </w:tcPr>
          <w:p w14:paraId="47EFFC99">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0DA19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74E68584">
            <w:pPr>
              <w:pStyle w:val="2"/>
              <w:spacing w:line="390" w:lineRule="exact"/>
              <w:ind w:firstLine="0" w:firstLineChars="0"/>
              <w:jc w:val="center"/>
              <w:rPr>
                <w:rFonts w:ascii="Times New Roman"/>
                <w:color w:val="000000"/>
                <w:szCs w:val="24"/>
              </w:rPr>
            </w:pPr>
            <w:r>
              <w:rPr>
                <w:rFonts w:hint="eastAsia" w:ascii="Times New Roman"/>
                <w:color w:val="000000"/>
                <w:szCs w:val="24"/>
              </w:rPr>
              <w:t>5</w:t>
            </w:r>
          </w:p>
        </w:tc>
        <w:tc>
          <w:tcPr>
            <w:tcW w:w="939" w:type="pct"/>
            <w:vAlign w:val="center"/>
          </w:tcPr>
          <w:p w14:paraId="4A9D02D4">
            <w:pPr>
              <w:pStyle w:val="2"/>
              <w:spacing w:line="390" w:lineRule="exact"/>
              <w:ind w:firstLine="0" w:firstLineChars="0"/>
              <w:jc w:val="center"/>
              <w:rPr>
                <w:rFonts w:ascii="Times New Roman"/>
                <w:color w:val="000000"/>
                <w:szCs w:val="24"/>
              </w:rPr>
            </w:pPr>
            <w:r>
              <w:rPr>
                <w:rFonts w:hint="eastAsia" w:ascii="Times New Roman"/>
                <w:color w:val="000000"/>
                <w:szCs w:val="24"/>
              </w:rPr>
              <w:t>一种稀土矿浸出液中稀土的富集与提取方法</w:t>
            </w:r>
          </w:p>
        </w:tc>
        <w:tc>
          <w:tcPr>
            <w:tcW w:w="384" w:type="pct"/>
            <w:vAlign w:val="center"/>
          </w:tcPr>
          <w:p w14:paraId="04824BD2">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15A371BC">
            <w:pPr>
              <w:pStyle w:val="2"/>
              <w:spacing w:line="390" w:lineRule="exact"/>
              <w:ind w:firstLine="0" w:firstLineChars="0"/>
              <w:jc w:val="center"/>
              <w:rPr>
                <w:rFonts w:ascii="Times New Roman"/>
                <w:color w:val="000000"/>
                <w:szCs w:val="24"/>
              </w:rPr>
            </w:pPr>
            <w:r>
              <w:rPr>
                <w:rFonts w:ascii="Times New Roman"/>
                <w:color w:val="000000"/>
                <w:szCs w:val="24"/>
              </w:rPr>
              <w:t>ZL202311567802.6</w:t>
            </w:r>
          </w:p>
        </w:tc>
        <w:tc>
          <w:tcPr>
            <w:tcW w:w="717" w:type="pct"/>
            <w:vAlign w:val="center"/>
          </w:tcPr>
          <w:p w14:paraId="3A4F06D9">
            <w:pPr>
              <w:pStyle w:val="2"/>
              <w:spacing w:line="390" w:lineRule="exact"/>
              <w:ind w:firstLine="0" w:firstLineChars="0"/>
              <w:jc w:val="center"/>
              <w:rPr>
                <w:rFonts w:ascii="Times New Roman"/>
                <w:color w:val="000000"/>
                <w:szCs w:val="24"/>
              </w:rPr>
            </w:pPr>
            <w:r>
              <w:rPr>
                <w:rFonts w:ascii="Times New Roman"/>
                <w:color w:val="000000"/>
                <w:szCs w:val="24"/>
              </w:rPr>
              <w:t>2024/2/6</w:t>
            </w:r>
          </w:p>
        </w:tc>
        <w:tc>
          <w:tcPr>
            <w:tcW w:w="1121" w:type="pct"/>
            <w:vAlign w:val="center"/>
          </w:tcPr>
          <w:p w14:paraId="04C68C9A">
            <w:pPr>
              <w:pStyle w:val="2"/>
              <w:spacing w:line="390" w:lineRule="exact"/>
              <w:ind w:firstLine="0" w:firstLineChars="0"/>
              <w:jc w:val="left"/>
              <w:rPr>
                <w:rFonts w:ascii="Times New Roman"/>
                <w:color w:val="000000"/>
                <w:szCs w:val="24"/>
              </w:rPr>
            </w:pPr>
            <w:r>
              <w:rPr>
                <w:rFonts w:hint="eastAsia" w:ascii="Times New Roman"/>
                <w:color w:val="000000"/>
                <w:szCs w:val="24"/>
              </w:rPr>
              <w:t>万印华、宋伟杰、于宏东、齐涛</w:t>
            </w:r>
          </w:p>
        </w:tc>
        <w:tc>
          <w:tcPr>
            <w:tcW w:w="413" w:type="pct"/>
            <w:vAlign w:val="center"/>
          </w:tcPr>
          <w:p w14:paraId="500C9449">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77686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2327BFC0">
            <w:pPr>
              <w:pStyle w:val="2"/>
              <w:spacing w:line="390" w:lineRule="exact"/>
              <w:ind w:firstLine="0" w:firstLineChars="0"/>
              <w:jc w:val="center"/>
              <w:rPr>
                <w:rFonts w:ascii="Times New Roman"/>
                <w:color w:val="000000"/>
                <w:szCs w:val="24"/>
              </w:rPr>
            </w:pPr>
            <w:r>
              <w:rPr>
                <w:rFonts w:hint="eastAsia" w:ascii="Times New Roman"/>
                <w:color w:val="000000"/>
                <w:szCs w:val="24"/>
              </w:rPr>
              <w:t>6</w:t>
            </w:r>
          </w:p>
        </w:tc>
        <w:tc>
          <w:tcPr>
            <w:tcW w:w="939" w:type="pct"/>
            <w:vAlign w:val="center"/>
          </w:tcPr>
          <w:p w14:paraId="46F3DDCD">
            <w:pPr>
              <w:pStyle w:val="2"/>
              <w:spacing w:line="390" w:lineRule="exact"/>
              <w:ind w:firstLine="0" w:firstLineChars="0"/>
              <w:jc w:val="center"/>
              <w:rPr>
                <w:rFonts w:ascii="Times New Roman"/>
                <w:color w:val="000000"/>
                <w:szCs w:val="24"/>
              </w:rPr>
            </w:pPr>
            <w:r>
              <w:rPr>
                <w:rFonts w:hint="eastAsia" w:ascii="Times New Roman"/>
                <w:color w:val="000000"/>
                <w:szCs w:val="24"/>
              </w:rPr>
              <w:t>一种稀土母液强化中和相态重构与铝资源利用的方法</w:t>
            </w:r>
          </w:p>
        </w:tc>
        <w:tc>
          <w:tcPr>
            <w:tcW w:w="384" w:type="pct"/>
            <w:vAlign w:val="center"/>
          </w:tcPr>
          <w:p w14:paraId="1490CC07">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11EFF81F">
            <w:pPr>
              <w:pStyle w:val="2"/>
              <w:spacing w:line="390" w:lineRule="exact"/>
              <w:ind w:firstLine="0" w:firstLineChars="0"/>
              <w:jc w:val="center"/>
              <w:rPr>
                <w:rFonts w:ascii="Times New Roman"/>
                <w:color w:val="000000"/>
                <w:szCs w:val="24"/>
              </w:rPr>
            </w:pPr>
            <w:r>
              <w:rPr>
                <w:rFonts w:ascii="Times New Roman"/>
                <w:color w:val="000000"/>
                <w:szCs w:val="24"/>
              </w:rPr>
              <w:t>ZL202110031943.0</w:t>
            </w:r>
          </w:p>
        </w:tc>
        <w:tc>
          <w:tcPr>
            <w:tcW w:w="717" w:type="pct"/>
            <w:vAlign w:val="center"/>
          </w:tcPr>
          <w:p w14:paraId="3E0E6CFE">
            <w:pPr>
              <w:pStyle w:val="2"/>
              <w:spacing w:line="390" w:lineRule="exact"/>
              <w:ind w:firstLine="0" w:firstLineChars="0"/>
              <w:jc w:val="center"/>
              <w:rPr>
                <w:rFonts w:ascii="Times New Roman"/>
                <w:color w:val="000000"/>
                <w:szCs w:val="24"/>
              </w:rPr>
            </w:pPr>
            <w:r>
              <w:rPr>
                <w:rFonts w:ascii="Times New Roman"/>
                <w:color w:val="000000"/>
                <w:szCs w:val="24"/>
              </w:rPr>
              <w:t>2024/3/8</w:t>
            </w:r>
          </w:p>
        </w:tc>
        <w:tc>
          <w:tcPr>
            <w:tcW w:w="1121" w:type="pct"/>
            <w:vAlign w:val="center"/>
          </w:tcPr>
          <w:p w14:paraId="4A781ACC">
            <w:pPr>
              <w:pStyle w:val="2"/>
              <w:spacing w:line="390" w:lineRule="exact"/>
              <w:ind w:firstLine="0" w:firstLineChars="0"/>
              <w:jc w:val="left"/>
              <w:rPr>
                <w:rFonts w:ascii="Times New Roman"/>
                <w:color w:val="000000"/>
                <w:szCs w:val="24"/>
              </w:rPr>
            </w:pPr>
            <w:r>
              <w:rPr>
                <w:rFonts w:hint="eastAsia" w:ascii="Times New Roman"/>
                <w:color w:val="000000"/>
                <w:szCs w:val="24"/>
              </w:rPr>
              <w:t>李平、张海林、陈兴、罗铃、万印华、齐涛</w:t>
            </w:r>
          </w:p>
        </w:tc>
        <w:tc>
          <w:tcPr>
            <w:tcW w:w="413" w:type="pct"/>
            <w:vAlign w:val="center"/>
          </w:tcPr>
          <w:p w14:paraId="7CA8EBBB">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5544A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252" w:type="pct"/>
            <w:vAlign w:val="center"/>
          </w:tcPr>
          <w:p w14:paraId="113FB0DC">
            <w:pPr>
              <w:pStyle w:val="2"/>
              <w:spacing w:line="390" w:lineRule="exact"/>
              <w:ind w:firstLine="0" w:firstLineChars="0"/>
              <w:jc w:val="center"/>
              <w:rPr>
                <w:rFonts w:ascii="Times New Roman"/>
                <w:color w:val="000000"/>
                <w:szCs w:val="24"/>
              </w:rPr>
            </w:pPr>
            <w:r>
              <w:rPr>
                <w:rFonts w:hint="eastAsia" w:ascii="Times New Roman"/>
                <w:color w:val="000000"/>
                <w:szCs w:val="24"/>
              </w:rPr>
              <w:t>7</w:t>
            </w:r>
          </w:p>
        </w:tc>
        <w:tc>
          <w:tcPr>
            <w:tcW w:w="939" w:type="pct"/>
            <w:vAlign w:val="center"/>
          </w:tcPr>
          <w:p w14:paraId="5370B0D4">
            <w:pPr>
              <w:pStyle w:val="2"/>
              <w:spacing w:line="390" w:lineRule="exact"/>
              <w:ind w:firstLine="0" w:firstLineChars="0"/>
              <w:jc w:val="center"/>
              <w:rPr>
                <w:rFonts w:ascii="Times New Roman"/>
                <w:color w:val="000000"/>
                <w:szCs w:val="24"/>
              </w:rPr>
            </w:pPr>
            <w:r>
              <w:rPr>
                <w:rFonts w:hint="eastAsia" w:ascii="Times New Roman"/>
                <w:color w:val="000000"/>
                <w:szCs w:val="24"/>
              </w:rPr>
              <w:t>一种铁氧体初级产品的净化方法</w:t>
            </w:r>
          </w:p>
        </w:tc>
        <w:tc>
          <w:tcPr>
            <w:tcW w:w="384" w:type="pct"/>
            <w:vAlign w:val="center"/>
          </w:tcPr>
          <w:p w14:paraId="253C84BE">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1DBD2AB1">
            <w:pPr>
              <w:pStyle w:val="2"/>
              <w:spacing w:line="390" w:lineRule="exact"/>
              <w:ind w:firstLine="0" w:firstLineChars="0"/>
              <w:jc w:val="center"/>
              <w:rPr>
                <w:rFonts w:ascii="Times New Roman"/>
                <w:color w:val="000000"/>
                <w:szCs w:val="24"/>
              </w:rPr>
            </w:pPr>
            <w:r>
              <w:rPr>
                <w:rFonts w:ascii="Times New Roman"/>
                <w:color w:val="000000"/>
                <w:szCs w:val="24"/>
              </w:rPr>
              <w:t>ZL202011536172.2</w:t>
            </w:r>
          </w:p>
        </w:tc>
        <w:tc>
          <w:tcPr>
            <w:tcW w:w="717" w:type="pct"/>
            <w:vAlign w:val="center"/>
          </w:tcPr>
          <w:p w14:paraId="7D1B8E95">
            <w:pPr>
              <w:pStyle w:val="2"/>
              <w:spacing w:line="390" w:lineRule="exact"/>
              <w:ind w:firstLine="0" w:firstLineChars="0"/>
              <w:jc w:val="center"/>
              <w:rPr>
                <w:rFonts w:ascii="Times New Roman"/>
                <w:color w:val="000000"/>
                <w:szCs w:val="24"/>
              </w:rPr>
            </w:pPr>
            <w:r>
              <w:rPr>
                <w:rFonts w:ascii="Times New Roman"/>
                <w:color w:val="000000"/>
                <w:szCs w:val="24"/>
              </w:rPr>
              <w:t>2024/11/19</w:t>
            </w:r>
          </w:p>
        </w:tc>
        <w:tc>
          <w:tcPr>
            <w:tcW w:w="1121" w:type="pct"/>
            <w:vAlign w:val="center"/>
          </w:tcPr>
          <w:p w14:paraId="2539D282">
            <w:pPr>
              <w:pStyle w:val="2"/>
              <w:spacing w:line="390" w:lineRule="exact"/>
              <w:ind w:firstLine="0" w:firstLineChars="0"/>
              <w:jc w:val="left"/>
              <w:rPr>
                <w:rFonts w:ascii="Times New Roman"/>
                <w:color w:val="000000"/>
                <w:szCs w:val="24"/>
              </w:rPr>
            </w:pPr>
            <w:r>
              <w:rPr>
                <w:rFonts w:hint="eastAsia" w:ascii="Times New Roman"/>
                <w:color w:val="000000"/>
                <w:szCs w:val="24"/>
              </w:rPr>
              <w:t>李平、常卿卿、吴恒、万印华、齐涛</w:t>
            </w:r>
          </w:p>
        </w:tc>
        <w:tc>
          <w:tcPr>
            <w:tcW w:w="413" w:type="pct"/>
            <w:vAlign w:val="center"/>
          </w:tcPr>
          <w:p w14:paraId="364D79C1">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70D77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725E534B">
            <w:pPr>
              <w:pStyle w:val="2"/>
              <w:spacing w:line="390" w:lineRule="exact"/>
              <w:ind w:firstLine="0" w:firstLineChars="0"/>
              <w:jc w:val="center"/>
              <w:rPr>
                <w:rFonts w:ascii="Times New Roman"/>
                <w:color w:val="000000"/>
                <w:szCs w:val="24"/>
              </w:rPr>
            </w:pPr>
            <w:r>
              <w:rPr>
                <w:rFonts w:hint="eastAsia" w:ascii="Times New Roman"/>
                <w:color w:val="000000"/>
                <w:szCs w:val="24"/>
              </w:rPr>
              <w:t>8</w:t>
            </w:r>
          </w:p>
        </w:tc>
        <w:tc>
          <w:tcPr>
            <w:tcW w:w="939" w:type="pct"/>
            <w:vAlign w:val="center"/>
          </w:tcPr>
          <w:p w14:paraId="27AE66A0">
            <w:pPr>
              <w:pStyle w:val="2"/>
              <w:spacing w:line="390" w:lineRule="exact"/>
              <w:ind w:firstLine="0" w:firstLineChars="0"/>
              <w:jc w:val="center"/>
              <w:rPr>
                <w:rFonts w:ascii="Times New Roman"/>
                <w:color w:val="000000"/>
                <w:szCs w:val="24"/>
              </w:rPr>
            </w:pPr>
            <w:r>
              <w:rPr>
                <w:rFonts w:hint="eastAsia" w:ascii="Times New Roman"/>
                <w:color w:val="000000"/>
                <w:szCs w:val="24"/>
              </w:rPr>
              <w:t>一种浸出钕铁硼废料铁尾渣中稀土的方法</w:t>
            </w:r>
          </w:p>
        </w:tc>
        <w:tc>
          <w:tcPr>
            <w:tcW w:w="384" w:type="pct"/>
            <w:vAlign w:val="center"/>
          </w:tcPr>
          <w:p w14:paraId="68A3BDB2">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6CB150FE">
            <w:pPr>
              <w:pStyle w:val="2"/>
              <w:spacing w:line="390" w:lineRule="exact"/>
              <w:ind w:firstLine="0" w:firstLineChars="0"/>
              <w:jc w:val="center"/>
              <w:rPr>
                <w:rFonts w:ascii="Times New Roman"/>
                <w:color w:val="000000"/>
                <w:szCs w:val="24"/>
              </w:rPr>
            </w:pPr>
            <w:r>
              <w:rPr>
                <w:rFonts w:ascii="Times New Roman"/>
                <w:color w:val="000000"/>
                <w:szCs w:val="24"/>
              </w:rPr>
              <w:t>ZL202211435252.8</w:t>
            </w:r>
          </w:p>
        </w:tc>
        <w:tc>
          <w:tcPr>
            <w:tcW w:w="717" w:type="pct"/>
            <w:vAlign w:val="center"/>
          </w:tcPr>
          <w:p w14:paraId="697D1FB9">
            <w:pPr>
              <w:pStyle w:val="2"/>
              <w:spacing w:line="390" w:lineRule="exact"/>
              <w:ind w:firstLine="0" w:firstLineChars="0"/>
              <w:jc w:val="center"/>
              <w:rPr>
                <w:rFonts w:ascii="Times New Roman"/>
                <w:color w:val="000000"/>
                <w:szCs w:val="24"/>
              </w:rPr>
            </w:pPr>
            <w:r>
              <w:rPr>
                <w:rFonts w:ascii="Times New Roman"/>
                <w:color w:val="000000"/>
                <w:szCs w:val="24"/>
              </w:rPr>
              <w:t>2025</w:t>
            </w:r>
            <w:r>
              <w:rPr>
                <w:rFonts w:hint="eastAsia" w:ascii="Times New Roman"/>
                <w:color w:val="000000"/>
                <w:szCs w:val="24"/>
              </w:rPr>
              <w:t>/</w:t>
            </w:r>
            <w:r>
              <w:rPr>
                <w:rFonts w:ascii="Times New Roman"/>
                <w:color w:val="000000"/>
                <w:szCs w:val="24"/>
              </w:rPr>
              <w:t>2</w:t>
            </w:r>
            <w:r>
              <w:rPr>
                <w:rFonts w:hint="eastAsia" w:ascii="Times New Roman"/>
                <w:color w:val="000000"/>
                <w:szCs w:val="24"/>
              </w:rPr>
              <w:t>/</w:t>
            </w:r>
            <w:r>
              <w:rPr>
                <w:rFonts w:ascii="Times New Roman"/>
                <w:color w:val="000000"/>
                <w:szCs w:val="24"/>
              </w:rPr>
              <w:t>11</w:t>
            </w:r>
          </w:p>
        </w:tc>
        <w:tc>
          <w:tcPr>
            <w:tcW w:w="1121" w:type="pct"/>
            <w:vAlign w:val="center"/>
          </w:tcPr>
          <w:p w14:paraId="0036FB5D">
            <w:pPr>
              <w:pStyle w:val="2"/>
              <w:spacing w:line="390" w:lineRule="exact"/>
              <w:ind w:firstLine="0" w:firstLineChars="0"/>
              <w:jc w:val="left"/>
              <w:rPr>
                <w:rFonts w:ascii="Times New Roman"/>
                <w:color w:val="000000"/>
                <w:szCs w:val="24"/>
              </w:rPr>
            </w:pPr>
            <w:r>
              <w:rPr>
                <w:rFonts w:hint="eastAsia" w:ascii="Times New Roman"/>
                <w:color w:val="000000"/>
                <w:szCs w:val="24"/>
              </w:rPr>
              <w:t>李平、李倩、管新地、韩云武、张积锴、常卿卿、张乔妮、吴飞杰</w:t>
            </w:r>
          </w:p>
        </w:tc>
        <w:tc>
          <w:tcPr>
            <w:tcW w:w="413" w:type="pct"/>
            <w:vAlign w:val="center"/>
          </w:tcPr>
          <w:p w14:paraId="5855DBA0">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09E7C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vAlign w:val="center"/>
          </w:tcPr>
          <w:p w14:paraId="2F3CD083">
            <w:pPr>
              <w:pStyle w:val="2"/>
              <w:spacing w:line="390" w:lineRule="exact"/>
              <w:ind w:firstLine="0" w:firstLineChars="0"/>
              <w:jc w:val="center"/>
              <w:rPr>
                <w:rFonts w:ascii="Times New Roman"/>
                <w:color w:val="000000"/>
                <w:szCs w:val="24"/>
              </w:rPr>
            </w:pPr>
            <w:r>
              <w:rPr>
                <w:rFonts w:hint="eastAsia" w:ascii="Times New Roman"/>
                <w:color w:val="000000"/>
                <w:szCs w:val="24"/>
              </w:rPr>
              <w:t>9</w:t>
            </w:r>
          </w:p>
        </w:tc>
        <w:tc>
          <w:tcPr>
            <w:tcW w:w="939" w:type="pct"/>
            <w:vAlign w:val="center"/>
          </w:tcPr>
          <w:p w14:paraId="4B1809DB">
            <w:pPr>
              <w:pStyle w:val="2"/>
              <w:spacing w:line="390" w:lineRule="exact"/>
              <w:ind w:firstLine="0" w:firstLineChars="0"/>
              <w:jc w:val="center"/>
              <w:rPr>
                <w:rFonts w:ascii="Times New Roman"/>
                <w:color w:val="000000"/>
                <w:szCs w:val="24"/>
              </w:rPr>
            </w:pPr>
            <w:r>
              <w:rPr>
                <w:rFonts w:hint="eastAsia" w:ascii="Times New Roman"/>
                <w:color w:val="000000"/>
                <w:szCs w:val="24"/>
              </w:rPr>
              <w:t>一种提高钠化还原过程渣中钒收率的方法</w:t>
            </w:r>
          </w:p>
        </w:tc>
        <w:tc>
          <w:tcPr>
            <w:tcW w:w="384" w:type="pct"/>
            <w:vAlign w:val="center"/>
          </w:tcPr>
          <w:p w14:paraId="743EEF59">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2D710C8A">
            <w:pPr>
              <w:pStyle w:val="2"/>
              <w:spacing w:line="390" w:lineRule="exact"/>
              <w:ind w:firstLine="0" w:firstLineChars="0"/>
              <w:jc w:val="center"/>
              <w:rPr>
                <w:rFonts w:ascii="Times New Roman"/>
                <w:color w:val="000000"/>
                <w:szCs w:val="24"/>
              </w:rPr>
            </w:pPr>
            <w:r>
              <w:rPr>
                <w:rFonts w:ascii="Times New Roman"/>
                <w:color w:val="000000"/>
                <w:szCs w:val="24"/>
              </w:rPr>
              <w:t>ZL202010372407.2</w:t>
            </w:r>
          </w:p>
        </w:tc>
        <w:tc>
          <w:tcPr>
            <w:tcW w:w="717" w:type="pct"/>
            <w:vAlign w:val="center"/>
          </w:tcPr>
          <w:p w14:paraId="64FAD07D">
            <w:pPr>
              <w:pStyle w:val="2"/>
              <w:spacing w:line="390" w:lineRule="exact"/>
              <w:ind w:firstLine="0" w:firstLineChars="0"/>
              <w:jc w:val="center"/>
              <w:rPr>
                <w:rFonts w:ascii="Times New Roman"/>
                <w:color w:val="000000"/>
                <w:szCs w:val="24"/>
              </w:rPr>
            </w:pPr>
            <w:r>
              <w:rPr>
                <w:rFonts w:ascii="Times New Roman"/>
                <w:color w:val="000000"/>
                <w:szCs w:val="24"/>
              </w:rPr>
              <w:t>2021/5/7</w:t>
            </w:r>
          </w:p>
        </w:tc>
        <w:tc>
          <w:tcPr>
            <w:tcW w:w="1121" w:type="pct"/>
            <w:vAlign w:val="center"/>
          </w:tcPr>
          <w:p w14:paraId="051D3AC2">
            <w:pPr>
              <w:pStyle w:val="2"/>
              <w:spacing w:line="390" w:lineRule="exact"/>
              <w:ind w:firstLine="0" w:firstLineChars="0"/>
              <w:jc w:val="left"/>
              <w:rPr>
                <w:rFonts w:ascii="Times New Roman"/>
                <w:color w:val="000000"/>
                <w:szCs w:val="24"/>
              </w:rPr>
            </w:pPr>
            <w:r>
              <w:rPr>
                <w:rFonts w:hint="eastAsia" w:ascii="Times New Roman"/>
                <w:color w:val="000000"/>
                <w:szCs w:val="24"/>
              </w:rPr>
              <w:t>孟凡成、王丽娜、曹磊、齐涛、陈德胜、赵宏欣、刘亚辉、甄玉兰</w:t>
            </w:r>
          </w:p>
        </w:tc>
        <w:tc>
          <w:tcPr>
            <w:tcW w:w="413" w:type="pct"/>
            <w:vAlign w:val="center"/>
          </w:tcPr>
          <w:p w14:paraId="4D63D4CE">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r w14:paraId="659A2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52" w:type="pct"/>
            <w:vAlign w:val="center"/>
          </w:tcPr>
          <w:p w14:paraId="70841AD9">
            <w:pPr>
              <w:pStyle w:val="2"/>
              <w:spacing w:line="390" w:lineRule="exact"/>
              <w:ind w:firstLine="0" w:firstLineChars="0"/>
              <w:jc w:val="center"/>
              <w:rPr>
                <w:rFonts w:ascii="Times New Roman"/>
                <w:color w:val="000000"/>
                <w:szCs w:val="24"/>
              </w:rPr>
            </w:pPr>
            <w:r>
              <w:rPr>
                <w:rFonts w:hint="eastAsia" w:ascii="Times New Roman"/>
                <w:color w:val="000000"/>
                <w:szCs w:val="24"/>
              </w:rPr>
              <w:t>10</w:t>
            </w:r>
          </w:p>
        </w:tc>
        <w:tc>
          <w:tcPr>
            <w:tcW w:w="939" w:type="pct"/>
            <w:vAlign w:val="center"/>
          </w:tcPr>
          <w:p w14:paraId="1706DFA9">
            <w:pPr>
              <w:pStyle w:val="2"/>
              <w:spacing w:line="390" w:lineRule="exact"/>
              <w:ind w:firstLine="0" w:firstLineChars="0"/>
              <w:jc w:val="center"/>
              <w:rPr>
                <w:rFonts w:ascii="Times New Roman"/>
                <w:color w:val="000000"/>
                <w:szCs w:val="24"/>
              </w:rPr>
            </w:pPr>
            <w:r>
              <w:rPr>
                <w:rFonts w:hint="eastAsia" w:ascii="Times New Roman"/>
                <w:color w:val="000000"/>
                <w:szCs w:val="24"/>
              </w:rPr>
              <w:t>一种大孔容拟薄水铝石及其制备方法</w:t>
            </w:r>
          </w:p>
        </w:tc>
        <w:tc>
          <w:tcPr>
            <w:tcW w:w="384" w:type="pct"/>
            <w:vAlign w:val="center"/>
          </w:tcPr>
          <w:p w14:paraId="7DBF0E5D">
            <w:pPr>
              <w:pStyle w:val="2"/>
              <w:spacing w:line="390" w:lineRule="exact"/>
              <w:ind w:firstLine="0" w:firstLineChars="0"/>
              <w:jc w:val="center"/>
              <w:rPr>
                <w:rFonts w:ascii="Times New Roman"/>
                <w:color w:val="000000"/>
                <w:szCs w:val="24"/>
              </w:rPr>
            </w:pPr>
            <w:r>
              <w:rPr>
                <w:rFonts w:hint="eastAsia" w:ascii="Times New Roman"/>
                <w:color w:val="000000"/>
                <w:szCs w:val="24"/>
              </w:rPr>
              <w:t>中国</w:t>
            </w:r>
          </w:p>
        </w:tc>
        <w:tc>
          <w:tcPr>
            <w:tcW w:w="1174" w:type="pct"/>
            <w:vAlign w:val="center"/>
          </w:tcPr>
          <w:p w14:paraId="2596F9ED">
            <w:pPr>
              <w:pStyle w:val="2"/>
              <w:spacing w:line="390" w:lineRule="exact"/>
              <w:ind w:firstLine="0" w:firstLineChars="0"/>
              <w:jc w:val="center"/>
              <w:rPr>
                <w:rFonts w:ascii="Times New Roman"/>
                <w:color w:val="000000"/>
                <w:szCs w:val="24"/>
              </w:rPr>
            </w:pPr>
            <w:r>
              <w:rPr>
                <w:rFonts w:ascii="Times New Roman"/>
                <w:color w:val="000000"/>
                <w:szCs w:val="24"/>
              </w:rPr>
              <w:t>ZL202011536131.3</w:t>
            </w:r>
          </w:p>
        </w:tc>
        <w:tc>
          <w:tcPr>
            <w:tcW w:w="717" w:type="pct"/>
            <w:vAlign w:val="center"/>
          </w:tcPr>
          <w:p w14:paraId="2BFEC18E">
            <w:pPr>
              <w:pStyle w:val="2"/>
              <w:spacing w:line="390" w:lineRule="exact"/>
              <w:ind w:firstLine="0" w:firstLineChars="0"/>
              <w:jc w:val="center"/>
              <w:rPr>
                <w:rFonts w:ascii="Times New Roman"/>
                <w:color w:val="000000"/>
                <w:szCs w:val="24"/>
              </w:rPr>
            </w:pPr>
            <w:r>
              <w:rPr>
                <w:rFonts w:ascii="Times New Roman"/>
                <w:color w:val="000000"/>
                <w:szCs w:val="24"/>
              </w:rPr>
              <w:t>2024/11/15</w:t>
            </w:r>
          </w:p>
        </w:tc>
        <w:tc>
          <w:tcPr>
            <w:tcW w:w="1121" w:type="pct"/>
            <w:vAlign w:val="center"/>
          </w:tcPr>
          <w:p w14:paraId="675430DC">
            <w:pPr>
              <w:pStyle w:val="2"/>
              <w:spacing w:line="390" w:lineRule="exact"/>
              <w:ind w:firstLine="0" w:firstLineChars="0"/>
              <w:jc w:val="left"/>
              <w:rPr>
                <w:rFonts w:ascii="Times New Roman"/>
                <w:color w:val="000000"/>
                <w:szCs w:val="24"/>
              </w:rPr>
            </w:pPr>
            <w:r>
              <w:rPr>
                <w:rFonts w:hint="eastAsia" w:ascii="Times New Roman"/>
                <w:color w:val="000000"/>
                <w:szCs w:val="24"/>
              </w:rPr>
              <w:t>李平、江再勇、赖胜春、万印华、齐涛</w:t>
            </w:r>
          </w:p>
        </w:tc>
        <w:tc>
          <w:tcPr>
            <w:tcW w:w="413" w:type="pct"/>
            <w:vAlign w:val="center"/>
          </w:tcPr>
          <w:p w14:paraId="23E364AE">
            <w:pPr>
              <w:pStyle w:val="2"/>
              <w:spacing w:line="390" w:lineRule="exact"/>
              <w:ind w:firstLine="0" w:firstLineChars="0"/>
              <w:jc w:val="center"/>
              <w:rPr>
                <w:rFonts w:ascii="Times New Roman"/>
                <w:color w:val="000000"/>
                <w:sz w:val="21"/>
                <w:szCs w:val="21"/>
              </w:rPr>
            </w:pPr>
            <w:r>
              <w:rPr>
                <w:rFonts w:hint="eastAsia" w:ascii="Times New Roman"/>
                <w:color w:val="000000"/>
                <w:sz w:val="21"/>
                <w:szCs w:val="21"/>
              </w:rPr>
              <w:t>有效</w:t>
            </w:r>
          </w:p>
        </w:tc>
      </w:tr>
    </w:tbl>
    <w:p w14:paraId="292851EF">
      <w:pPr>
        <w:pStyle w:val="15"/>
        <w:numPr>
          <w:ilvl w:val="0"/>
          <w:numId w:val="1"/>
        </w:numPr>
        <w:spacing w:before="468" w:beforeLines="150" w:after="312" w:afterLines="100" w:line="560" w:lineRule="exact"/>
        <w:ind w:left="1349" w:firstLineChars="0"/>
        <w:rPr>
          <w:rFonts w:ascii="Times New Roman" w:hAnsi="Times New Roman" w:eastAsia="楷体" w:cs="Times New Roman"/>
          <w:b/>
          <w:sz w:val="32"/>
          <w:szCs w:val="32"/>
        </w:rPr>
      </w:pPr>
      <w:r>
        <w:rPr>
          <w:rFonts w:hint="eastAsia" w:ascii="Times New Roman" w:hAnsi="Times New Roman" w:eastAsia="楷体" w:cs="Times New Roman"/>
          <w:b/>
          <w:sz w:val="32"/>
          <w:szCs w:val="32"/>
        </w:rPr>
        <w:t>其他知识产权和标准等列表</w:t>
      </w:r>
    </w:p>
    <w:tbl>
      <w:tblPr>
        <w:tblStyle w:val="6"/>
        <w:tblW w:w="53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32"/>
        <w:gridCol w:w="2782"/>
        <w:gridCol w:w="2191"/>
        <w:gridCol w:w="2900"/>
      </w:tblGrid>
      <w:tr w14:paraId="7C4D2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 w:type="pct"/>
            <w:tcBorders>
              <w:top w:val="single" w:color="auto" w:sz="8" w:space="0"/>
              <w:left w:val="single" w:color="auto" w:sz="8" w:space="0"/>
              <w:bottom w:val="single" w:color="auto" w:sz="4" w:space="0"/>
              <w:right w:val="single" w:color="auto" w:sz="4" w:space="0"/>
            </w:tcBorders>
            <w:vAlign w:val="center"/>
          </w:tcPr>
          <w:p w14:paraId="0028B017">
            <w:pPr>
              <w:pStyle w:val="2"/>
              <w:adjustRightInd w:val="0"/>
              <w:spacing w:after="50" w:line="440" w:lineRule="exact"/>
              <w:ind w:firstLine="0" w:firstLineChars="0"/>
              <w:jc w:val="center"/>
              <w:outlineLvl w:val="1"/>
              <w:rPr>
                <w:rFonts w:ascii="Times New Roman"/>
                <w:color w:val="000000"/>
                <w:szCs w:val="24"/>
              </w:rPr>
            </w:pPr>
            <w:r>
              <w:rPr>
                <w:rFonts w:hint="eastAsia" w:ascii="Times New Roman"/>
                <w:color w:val="000000"/>
                <w:szCs w:val="24"/>
              </w:rPr>
              <w:t>序号</w:t>
            </w:r>
          </w:p>
        </w:tc>
        <w:tc>
          <w:tcPr>
            <w:tcW w:w="403" w:type="pct"/>
            <w:tcBorders>
              <w:top w:val="single" w:color="auto" w:sz="8" w:space="0"/>
              <w:left w:val="single" w:color="auto" w:sz="4" w:space="0"/>
              <w:bottom w:val="single" w:color="auto" w:sz="4" w:space="0"/>
              <w:right w:val="single" w:color="auto" w:sz="4" w:space="0"/>
            </w:tcBorders>
            <w:vAlign w:val="center"/>
          </w:tcPr>
          <w:p w14:paraId="33F806C6">
            <w:pPr>
              <w:pStyle w:val="2"/>
              <w:adjustRightInd w:val="0"/>
              <w:spacing w:after="50" w:line="440" w:lineRule="exact"/>
              <w:ind w:firstLine="0" w:firstLineChars="0"/>
              <w:jc w:val="center"/>
              <w:outlineLvl w:val="1"/>
              <w:rPr>
                <w:rFonts w:ascii="Times New Roman"/>
                <w:szCs w:val="24"/>
              </w:rPr>
            </w:pPr>
            <w:r>
              <w:rPr>
                <w:rFonts w:hint="eastAsia" w:ascii="Times New Roman"/>
                <w:szCs w:val="24"/>
              </w:rPr>
              <w:t>类型</w:t>
            </w:r>
          </w:p>
        </w:tc>
        <w:tc>
          <w:tcPr>
            <w:tcW w:w="1531" w:type="pct"/>
            <w:tcBorders>
              <w:top w:val="single" w:color="auto" w:sz="8" w:space="0"/>
              <w:left w:val="single" w:color="auto" w:sz="4" w:space="0"/>
              <w:bottom w:val="single" w:color="auto" w:sz="4" w:space="0"/>
              <w:right w:val="single" w:color="auto" w:sz="4" w:space="0"/>
            </w:tcBorders>
            <w:vAlign w:val="center"/>
          </w:tcPr>
          <w:p w14:paraId="4D28980C">
            <w:pPr>
              <w:pStyle w:val="17"/>
              <w:spacing w:line="390" w:lineRule="exact"/>
              <w:ind w:firstLine="0" w:firstLineChars="0"/>
              <w:jc w:val="center"/>
              <w:outlineLvl w:val="0"/>
              <w:rPr>
                <w:rFonts w:ascii="Times New Roman"/>
                <w:bCs/>
                <w:color w:val="000000"/>
              </w:rPr>
            </w:pPr>
            <w:r>
              <w:rPr>
                <w:rFonts w:hint="eastAsia" w:ascii="Times New Roman"/>
                <w:bCs/>
                <w:color w:val="000000"/>
              </w:rPr>
              <w:t>名称</w:t>
            </w:r>
          </w:p>
        </w:tc>
        <w:tc>
          <w:tcPr>
            <w:tcW w:w="1206" w:type="pct"/>
            <w:tcBorders>
              <w:top w:val="single" w:color="auto" w:sz="8" w:space="0"/>
              <w:left w:val="single" w:color="auto" w:sz="4" w:space="0"/>
              <w:bottom w:val="single" w:color="auto" w:sz="4" w:space="0"/>
              <w:right w:val="single" w:color="auto" w:sz="4" w:space="0"/>
            </w:tcBorders>
            <w:vAlign w:val="center"/>
          </w:tcPr>
          <w:p w14:paraId="295DDC7A">
            <w:pPr>
              <w:pStyle w:val="2"/>
              <w:adjustRightInd w:val="0"/>
              <w:spacing w:after="50" w:line="440" w:lineRule="exact"/>
              <w:ind w:firstLine="0" w:firstLineChars="0"/>
              <w:jc w:val="center"/>
              <w:outlineLvl w:val="1"/>
              <w:rPr>
                <w:rFonts w:ascii="Times New Roman"/>
                <w:bCs/>
                <w:color w:val="000000"/>
                <w:spacing w:val="-20"/>
                <w:szCs w:val="24"/>
                <w:highlight w:val="yellow"/>
              </w:rPr>
            </w:pPr>
            <w:r>
              <w:rPr>
                <w:rFonts w:hint="eastAsia" w:ascii="Times New Roman"/>
                <w:color w:val="000000"/>
                <w:szCs w:val="24"/>
              </w:rPr>
              <w:t>著录信息</w:t>
            </w:r>
          </w:p>
        </w:tc>
        <w:tc>
          <w:tcPr>
            <w:tcW w:w="1596" w:type="pct"/>
            <w:tcBorders>
              <w:top w:val="single" w:color="auto" w:sz="8" w:space="0"/>
              <w:left w:val="single" w:color="auto" w:sz="4" w:space="0"/>
              <w:bottom w:val="single" w:color="auto" w:sz="4" w:space="0"/>
              <w:right w:val="single" w:color="auto" w:sz="8" w:space="0"/>
            </w:tcBorders>
            <w:vAlign w:val="center"/>
          </w:tcPr>
          <w:p w14:paraId="10DFFF2D">
            <w:pPr>
              <w:pStyle w:val="17"/>
              <w:spacing w:line="390" w:lineRule="exact"/>
              <w:ind w:firstLine="0" w:firstLineChars="0"/>
              <w:jc w:val="center"/>
              <w:outlineLvl w:val="0"/>
              <w:rPr>
                <w:rFonts w:ascii="Times New Roman"/>
                <w:bCs/>
                <w:color w:val="000000"/>
                <w:spacing w:val="-20"/>
              </w:rPr>
            </w:pPr>
            <w:r>
              <w:rPr>
                <w:rFonts w:hint="eastAsia" w:ascii="Times New Roman"/>
                <w:bCs/>
                <w:color w:val="000000"/>
                <w:spacing w:val="-20"/>
              </w:rPr>
              <w:t>全部完成人</w:t>
            </w:r>
          </w:p>
        </w:tc>
      </w:tr>
      <w:tr w14:paraId="2F74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64" w:type="pct"/>
            <w:tcBorders>
              <w:top w:val="single" w:color="auto" w:sz="8" w:space="0"/>
              <w:left w:val="single" w:color="auto" w:sz="8" w:space="0"/>
              <w:bottom w:val="single" w:color="auto" w:sz="4" w:space="0"/>
              <w:right w:val="single" w:color="auto" w:sz="4" w:space="0"/>
            </w:tcBorders>
            <w:vAlign w:val="center"/>
          </w:tcPr>
          <w:p w14:paraId="55AA6F38">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1</w:t>
            </w:r>
          </w:p>
        </w:tc>
        <w:tc>
          <w:tcPr>
            <w:tcW w:w="403" w:type="pct"/>
            <w:tcBorders>
              <w:top w:val="single" w:color="auto" w:sz="8" w:space="0"/>
              <w:left w:val="single" w:color="auto" w:sz="4" w:space="0"/>
              <w:bottom w:val="single" w:color="auto" w:sz="4" w:space="0"/>
              <w:right w:val="single" w:color="auto" w:sz="4" w:space="0"/>
            </w:tcBorders>
            <w:vAlign w:val="center"/>
          </w:tcPr>
          <w:p w14:paraId="0679905D">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实用新型</w:t>
            </w:r>
          </w:p>
        </w:tc>
        <w:tc>
          <w:tcPr>
            <w:tcW w:w="1531" w:type="pct"/>
            <w:tcBorders>
              <w:top w:val="single" w:color="auto" w:sz="8" w:space="0"/>
              <w:left w:val="single" w:color="auto" w:sz="4" w:space="0"/>
              <w:bottom w:val="single" w:color="auto" w:sz="4" w:space="0"/>
              <w:right w:val="single" w:color="auto" w:sz="4" w:space="0"/>
            </w:tcBorders>
            <w:vAlign w:val="center"/>
          </w:tcPr>
          <w:p w14:paraId="00A3EB2C">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一种用于气液液反应的一体化设备</w:t>
            </w:r>
          </w:p>
        </w:tc>
        <w:tc>
          <w:tcPr>
            <w:tcW w:w="1206" w:type="pct"/>
            <w:tcBorders>
              <w:top w:val="single" w:color="auto" w:sz="8" w:space="0"/>
              <w:left w:val="single" w:color="auto" w:sz="4" w:space="0"/>
              <w:bottom w:val="single" w:color="auto" w:sz="4" w:space="0"/>
              <w:right w:val="single" w:color="auto" w:sz="4" w:space="0"/>
            </w:tcBorders>
            <w:vAlign w:val="center"/>
          </w:tcPr>
          <w:p w14:paraId="2B81B0FB">
            <w:pPr>
              <w:pStyle w:val="17"/>
              <w:adjustRightInd w:val="0"/>
              <w:snapToGrid w:val="0"/>
              <w:spacing w:line="240" w:lineRule="auto"/>
              <w:ind w:firstLine="0" w:firstLineChars="0"/>
              <w:outlineLvl w:val="0"/>
              <w:rPr>
                <w:rFonts w:ascii="Times New Roman"/>
                <w:color w:val="000000"/>
              </w:rPr>
            </w:pPr>
            <w:r>
              <w:rPr>
                <w:rFonts w:ascii="Times New Roman"/>
                <w:color w:val="000000"/>
              </w:rPr>
              <w:t>ZL202221840904.1</w:t>
            </w:r>
          </w:p>
        </w:tc>
        <w:tc>
          <w:tcPr>
            <w:tcW w:w="1596" w:type="pct"/>
            <w:tcBorders>
              <w:top w:val="single" w:color="auto" w:sz="8" w:space="0"/>
              <w:left w:val="single" w:color="auto" w:sz="4" w:space="0"/>
              <w:bottom w:val="single" w:color="auto" w:sz="4" w:space="0"/>
              <w:right w:val="single" w:color="auto" w:sz="8" w:space="0"/>
            </w:tcBorders>
            <w:vAlign w:val="center"/>
          </w:tcPr>
          <w:p w14:paraId="296F574A">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齐涛、魏增、张健、林道勇、朱兆武</w:t>
            </w:r>
          </w:p>
        </w:tc>
      </w:tr>
      <w:tr w14:paraId="6891B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64" w:type="pct"/>
            <w:tcBorders>
              <w:top w:val="single" w:color="auto" w:sz="4" w:space="0"/>
              <w:left w:val="single" w:color="auto" w:sz="8" w:space="0"/>
              <w:bottom w:val="single" w:color="auto" w:sz="4" w:space="0"/>
              <w:right w:val="single" w:color="auto" w:sz="4" w:space="0"/>
            </w:tcBorders>
            <w:vAlign w:val="center"/>
          </w:tcPr>
          <w:p w14:paraId="36C835EF">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2</w:t>
            </w:r>
          </w:p>
        </w:tc>
        <w:tc>
          <w:tcPr>
            <w:tcW w:w="403" w:type="pct"/>
            <w:tcBorders>
              <w:top w:val="single" w:color="auto" w:sz="4" w:space="0"/>
              <w:left w:val="single" w:color="auto" w:sz="4" w:space="0"/>
              <w:bottom w:val="single" w:color="auto" w:sz="4" w:space="0"/>
              <w:right w:val="single" w:color="auto" w:sz="4" w:space="0"/>
            </w:tcBorders>
            <w:vAlign w:val="center"/>
          </w:tcPr>
          <w:p w14:paraId="39C9E1EC">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实用新型</w:t>
            </w:r>
          </w:p>
        </w:tc>
        <w:tc>
          <w:tcPr>
            <w:tcW w:w="1531" w:type="pct"/>
            <w:tcBorders>
              <w:top w:val="single" w:color="auto" w:sz="4" w:space="0"/>
              <w:left w:val="single" w:color="auto" w:sz="4" w:space="0"/>
              <w:bottom w:val="single" w:color="auto" w:sz="4" w:space="0"/>
              <w:right w:val="single" w:color="auto" w:sz="4" w:space="0"/>
            </w:tcBorders>
            <w:vAlign w:val="center"/>
          </w:tcPr>
          <w:p w14:paraId="10ECFB3F">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一种快速固液分离及富集稀土沉淀物的装置</w:t>
            </w:r>
          </w:p>
        </w:tc>
        <w:tc>
          <w:tcPr>
            <w:tcW w:w="1206" w:type="pct"/>
            <w:tcBorders>
              <w:top w:val="single" w:color="auto" w:sz="4" w:space="0"/>
              <w:left w:val="single" w:color="auto" w:sz="4" w:space="0"/>
              <w:bottom w:val="single" w:color="auto" w:sz="4" w:space="0"/>
              <w:right w:val="single" w:color="auto" w:sz="4" w:space="0"/>
            </w:tcBorders>
            <w:vAlign w:val="center"/>
          </w:tcPr>
          <w:p w14:paraId="6E6F5190">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ZL202321099710.5</w:t>
            </w:r>
          </w:p>
        </w:tc>
        <w:tc>
          <w:tcPr>
            <w:tcW w:w="1596" w:type="pct"/>
            <w:tcBorders>
              <w:top w:val="single" w:color="auto" w:sz="4" w:space="0"/>
              <w:left w:val="single" w:color="auto" w:sz="4" w:space="0"/>
              <w:bottom w:val="single" w:color="auto" w:sz="4" w:space="0"/>
              <w:right w:val="single" w:color="auto" w:sz="8" w:space="0"/>
            </w:tcBorders>
            <w:vAlign w:val="center"/>
          </w:tcPr>
          <w:p w14:paraId="3F98EB90">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万印华、王崇罡、刘玉城、李学伟、于宏东、齐涛</w:t>
            </w:r>
          </w:p>
        </w:tc>
      </w:tr>
      <w:tr w14:paraId="6BC3B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 w:type="pct"/>
            <w:tcBorders>
              <w:top w:val="single" w:color="auto" w:sz="4" w:space="0"/>
              <w:left w:val="single" w:color="auto" w:sz="8" w:space="0"/>
              <w:bottom w:val="single" w:color="auto" w:sz="4" w:space="0"/>
              <w:right w:val="single" w:color="auto" w:sz="4" w:space="0"/>
            </w:tcBorders>
            <w:vAlign w:val="center"/>
          </w:tcPr>
          <w:p w14:paraId="1756406B">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3</w:t>
            </w:r>
          </w:p>
        </w:tc>
        <w:tc>
          <w:tcPr>
            <w:tcW w:w="403" w:type="pct"/>
            <w:tcBorders>
              <w:top w:val="single" w:color="auto" w:sz="4" w:space="0"/>
              <w:left w:val="single" w:color="auto" w:sz="4" w:space="0"/>
              <w:bottom w:val="single" w:color="auto" w:sz="4" w:space="0"/>
              <w:right w:val="single" w:color="auto" w:sz="4" w:space="0"/>
            </w:tcBorders>
            <w:vAlign w:val="center"/>
          </w:tcPr>
          <w:p w14:paraId="62F20C88">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实用新型</w:t>
            </w:r>
          </w:p>
        </w:tc>
        <w:tc>
          <w:tcPr>
            <w:tcW w:w="1531" w:type="pct"/>
            <w:tcBorders>
              <w:top w:val="single" w:color="auto" w:sz="4" w:space="0"/>
              <w:left w:val="single" w:color="auto" w:sz="4" w:space="0"/>
              <w:bottom w:val="single" w:color="auto" w:sz="4" w:space="0"/>
              <w:right w:val="single" w:color="auto" w:sz="4" w:space="0"/>
            </w:tcBorders>
            <w:vAlign w:val="center"/>
          </w:tcPr>
          <w:p w14:paraId="7AD79811">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一种内热式回转窑的外支撑保温结构</w:t>
            </w:r>
          </w:p>
        </w:tc>
        <w:tc>
          <w:tcPr>
            <w:tcW w:w="1206" w:type="pct"/>
            <w:tcBorders>
              <w:top w:val="single" w:color="auto" w:sz="4" w:space="0"/>
              <w:left w:val="single" w:color="auto" w:sz="4" w:space="0"/>
              <w:bottom w:val="single" w:color="auto" w:sz="4" w:space="0"/>
              <w:right w:val="single" w:color="auto" w:sz="4" w:space="0"/>
            </w:tcBorders>
            <w:vAlign w:val="center"/>
          </w:tcPr>
          <w:p w14:paraId="3BF1BC23">
            <w:pPr>
              <w:pStyle w:val="17"/>
              <w:adjustRightInd w:val="0"/>
              <w:snapToGrid w:val="0"/>
              <w:spacing w:line="240" w:lineRule="auto"/>
              <w:ind w:firstLine="0" w:firstLineChars="0"/>
              <w:outlineLvl w:val="0"/>
              <w:rPr>
                <w:rFonts w:ascii="Times New Roman"/>
                <w:color w:val="000000"/>
              </w:rPr>
            </w:pPr>
            <w:r>
              <w:rPr>
                <w:rFonts w:ascii="Times New Roman"/>
                <w:color w:val="000000"/>
              </w:rPr>
              <w:t>ZL202422653699.3</w:t>
            </w:r>
          </w:p>
        </w:tc>
        <w:tc>
          <w:tcPr>
            <w:tcW w:w="1596" w:type="pct"/>
            <w:tcBorders>
              <w:top w:val="single" w:color="auto" w:sz="4" w:space="0"/>
              <w:left w:val="single" w:color="auto" w:sz="4" w:space="0"/>
              <w:bottom w:val="single" w:color="auto" w:sz="4" w:space="0"/>
              <w:right w:val="single" w:color="auto" w:sz="8" w:space="0"/>
            </w:tcBorders>
            <w:vAlign w:val="center"/>
          </w:tcPr>
          <w:p w14:paraId="43CB5D36">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柯灵升、李平、肖卫东、熊家春、李倩、唐杰、钟红芸、陈皆良、谢忠亮、曾杨友</w:t>
            </w:r>
          </w:p>
        </w:tc>
      </w:tr>
      <w:tr w14:paraId="397C0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64" w:type="pct"/>
            <w:tcBorders>
              <w:top w:val="single" w:color="auto" w:sz="4" w:space="0"/>
              <w:left w:val="single" w:color="auto" w:sz="8" w:space="0"/>
              <w:bottom w:val="single" w:color="auto" w:sz="4" w:space="0"/>
              <w:right w:val="single" w:color="auto" w:sz="4" w:space="0"/>
            </w:tcBorders>
            <w:vAlign w:val="center"/>
          </w:tcPr>
          <w:p w14:paraId="7D4AC3D4">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4</w:t>
            </w:r>
          </w:p>
        </w:tc>
        <w:tc>
          <w:tcPr>
            <w:tcW w:w="403" w:type="pct"/>
            <w:tcBorders>
              <w:top w:val="single" w:color="auto" w:sz="4" w:space="0"/>
              <w:left w:val="single" w:color="auto" w:sz="4" w:space="0"/>
              <w:bottom w:val="single" w:color="auto" w:sz="4" w:space="0"/>
              <w:right w:val="single" w:color="auto" w:sz="4" w:space="0"/>
            </w:tcBorders>
            <w:vAlign w:val="center"/>
          </w:tcPr>
          <w:p w14:paraId="38478657">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发明专利</w:t>
            </w:r>
          </w:p>
        </w:tc>
        <w:tc>
          <w:tcPr>
            <w:tcW w:w="1531" w:type="pct"/>
            <w:tcBorders>
              <w:top w:val="single" w:color="auto" w:sz="4" w:space="0"/>
              <w:left w:val="single" w:color="auto" w:sz="4" w:space="0"/>
              <w:bottom w:val="single" w:color="auto" w:sz="4" w:space="0"/>
              <w:right w:val="single" w:color="auto" w:sz="4" w:space="0"/>
            </w:tcBorders>
            <w:vAlign w:val="center"/>
          </w:tcPr>
          <w:p w14:paraId="2AF987DB">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一种基于相似模型构建的原地溶浸开采试验的系统装置及其方法</w:t>
            </w:r>
          </w:p>
        </w:tc>
        <w:tc>
          <w:tcPr>
            <w:tcW w:w="1206" w:type="pct"/>
            <w:tcBorders>
              <w:top w:val="single" w:color="auto" w:sz="4" w:space="0"/>
              <w:left w:val="single" w:color="auto" w:sz="4" w:space="0"/>
              <w:bottom w:val="single" w:color="auto" w:sz="4" w:space="0"/>
              <w:right w:val="single" w:color="auto" w:sz="4" w:space="0"/>
            </w:tcBorders>
            <w:vAlign w:val="center"/>
          </w:tcPr>
          <w:p w14:paraId="41DDA4A4">
            <w:pPr>
              <w:pStyle w:val="17"/>
              <w:adjustRightInd w:val="0"/>
              <w:snapToGrid w:val="0"/>
              <w:spacing w:line="240" w:lineRule="auto"/>
              <w:ind w:firstLine="0" w:firstLineChars="0"/>
              <w:outlineLvl w:val="0"/>
              <w:rPr>
                <w:rFonts w:ascii="Times New Roman"/>
                <w:color w:val="000000"/>
              </w:rPr>
            </w:pPr>
            <w:r>
              <w:rPr>
                <w:rFonts w:ascii="Times New Roman"/>
                <w:color w:val="000000"/>
              </w:rPr>
              <w:t>ZL202210349307.7</w:t>
            </w:r>
          </w:p>
        </w:tc>
        <w:tc>
          <w:tcPr>
            <w:tcW w:w="1596" w:type="pct"/>
            <w:tcBorders>
              <w:top w:val="single" w:color="auto" w:sz="4" w:space="0"/>
              <w:left w:val="single" w:color="auto" w:sz="4" w:space="0"/>
              <w:bottom w:val="single" w:color="auto" w:sz="4" w:space="0"/>
              <w:right w:val="single" w:color="auto" w:sz="8" w:space="0"/>
            </w:tcBorders>
            <w:vAlign w:val="center"/>
          </w:tcPr>
          <w:p w14:paraId="6F01F760">
            <w:pPr>
              <w:pStyle w:val="17"/>
              <w:adjustRightInd w:val="0"/>
              <w:snapToGrid w:val="0"/>
              <w:spacing w:line="240" w:lineRule="auto"/>
              <w:ind w:firstLine="0" w:firstLineChars="0"/>
              <w:outlineLvl w:val="0"/>
              <w:rPr>
                <w:rFonts w:ascii="Times New Roman"/>
                <w:color w:val="000000"/>
              </w:rPr>
            </w:pPr>
            <w:r>
              <w:rPr>
                <w:rFonts w:hint="eastAsia" w:ascii="Times New Roman"/>
                <w:color w:val="000000"/>
              </w:rPr>
              <w:t>王崇罡、孙贵东、万印华、于宏东</w:t>
            </w:r>
          </w:p>
        </w:tc>
      </w:tr>
      <w:tr w14:paraId="76748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64" w:type="pct"/>
            <w:tcBorders>
              <w:top w:val="single" w:color="auto" w:sz="4" w:space="0"/>
              <w:left w:val="single" w:color="auto" w:sz="8" w:space="0"/>
              <w:bottom w:val="single" w:color="auto" w:sz="4" w:space="0"/>
              <w:right w:val="single" w:color="auto" w:sz="4" w:space="0"/>
            </w:tcBorders>
            <w:vAlign w:val="center"/>
          </w:tcPr>
          <w:p w14:paraId="72609AFA">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5</w:t>
            </w:r>
          </w:p>
        </w:tc>
        <w:tc>
          <w:tcPr>
            <w:tcW w:w="403" w:type="pct"/>
            <w:tcBorders>
              <w:top w:val="single" w:color="auto" w:sz="4" w:space="0"/>
              <w:left w:val="single" w:color="auto" w:sz="4" w:space="0"/>
              <w:bottom w:val="single" w:color="auto" w:sz="4" w:space="0"/>
              <w:right w:val="single" w:color="auto" w:sz="4" w:space="0"/>
            </w:tcBorders>
            <w:vAlign w:val="center"/>
          </w:tcPr>
          <w:p w14:paraId="7F26675F">
            <w:pPr>
              <w:pStyle w:val="17"/>
              <w:adjustRightInd w:val="0"/>
              <w:snapToGrid w:val="0"/>
              <w:spacing w:line="240" w:lineRule="auto"/>
              <w:ind w:firstLine="0" w:firstLineChars="0"/>
              <w:jc w:val="center"/>
              <w:outlineLvl w:val="0"/>
              <w:rPr>
                <w:rFonts w:ascii="Times New Roman"/>
                <w:color w:val="000000"/>
              </w:rPr>
            </w:pPr>
            <w:r>
              <w:rPr>
                <w:rFonts w:hint="eastAsia" w:ascii="Times New Roman"/>
                <w:color w:val="000000"/>
              </w:rPr>
              <w:t>论文</w:t>
            </w:r>
          </w:p>
        </w:tc>
        <w:tc>
          <w:tcPr>
            <w:tcW w:w="1531" w:type="pct"/>
            <w:tcBorders>
              <w:top w:val="single" w:color="auto" w:sz="4" w:space="0"/>
              <w:left w:val="single" w:color="auto" w:sz="4" w:space="0"/>
              <w:bottom w:val="single" w:color="auto" w:sz="4" w:space="0"/>
              <w:right w:val="single" w:color="auto" w:sz="4" w:space="0"/>
            </w:tcBorders>
            <w:vAlign w:val="center"/>
          </w:tcPr>
          <w:p w14:paraId="7F589FC5">
            <w:pPr>
              <w:pStyle w:val="17"/>
              <w:adjustRightInd w:val="0"/>
              <w:snapToGrid w:val="0"/>
              <w:spacing w:line="240" w:lineRule="auto"/>
              <w:ind w:firstLine="0" w:firstLineChars="0"/>
              <w:jc w:val="center"/>
              <w:outlineLvl w:val="0"/>
              <w:rPr>
                <w:rFonts w:ascii="Times New Roman"/>
                <w:color w:val="000000"/>
              </w:rPr>
            </w:pPr>
            <w:r>
              <w:rPr>
                <w:rFonts w:ascii="Times New Roman"/>
                <w:color w:val="000000"/>
              </w:rPr>
              <w:t>Green desorption combined with peptization technology for disposing of Cr (VI)-V(V)-containing hazardous aluminum waste to prepare high-valued pseudo-boehmite</w:t>
            </w:r>
          </w:p>
        </w:tc>
        <w:tc>
          <w:tcPr>
            <w:tcW w:w="1206" w:type="pct"/>
            <w:tcBorders>
              <w:top w:val="single" w:color="auto" w:sz="4" w:space="0"/>
              <w:left w:val="single" w:color="auto" w:sz="4" w:space="0"/>
              <w:bottom w:val="single" w:color="auto" w:sz="4" w:space="0"/>
              <w:right w:val="single" w:color="auto" w:sz="4" w:space="0"/>
            </w:tcBorders>
            <w:vAlign w:val="center"/>
          </w:tcPr>
          <w:p w14:paraId="05F636F1">
            <w:pPr>
              <w:pStyle w:val="17"/>
              <w:adjustRightInd w:val="0"/>
              <w:snapToGrid w:val="0"/>
              <w:spacing w:line="240" w:lineRule="auto"/>
              <w:ind w:firstLine="0" w:firstLineChars="0"/>
              <w:jc w:val="center"/>
              <w:outlineLvl w:val="0"/>
              <w:rPr>
                <w:rFonts w:ascii="Times New Roman"/>
                <w:color w:val="000000"/>
              </w:rPr>
            </w:pPr>
            <w:r>
              <w:rPr>
                <w:rFonts w:ascii="Times New Roman"/>
                <w:color w:val="000000"/>
              </w:rPr>
              <w:t>Separation and Purification Technology, 2023, 314: 123655</w:t>
            </w:r>
          </w:p>
        </w:tc>
        <w:tc>
          <w:tcPr>
            <w:tcW w:w="1596" w:type="pct"/>
            <w:tcBorders>
              <w:top w:val="single" w:color="auto" w:sz="4" w:space="0"/>
              <w:left w:val="single" w:color="auto" w:sz="4" w:space="0"/>
              <w:bottom w:val="single" w:color="auto" w:sz="4" w:space="0"/>
              <w:right w:val="single" w:color="auto" w:sz="8" w:space="0"/>
            </w:tcBorders>
            <w:vAlign w:val="center"/>
          </w:tcPr>
          <w:p w14:paraId="51A65E18">
            <w:pPr>
              <w:pStyle w:val="17"/>
              <w:adjustRightInd w:val="0"/>
              <w:snapToGrid w:val="0"/>
              <w:spacing w:line="240" w:lineRule="auto"/>
              <w:ind w:firstLine="0" w:firstLineChars="0"/>
              <w:jc w:val="center"/>
              <w:outlineLvl w:val="0"/>
              <w:rPr>
                <w:rFonts w:ascii="Times New Roman"/>
                <w:color w:val="000000"/>
              </w:rPr>
            </w:pPr>
            <w:r>
              <w:rPr>
                <w:rFonts w:ascii="Times New Roman"/>
                <w:color w:val="000000"/>
              </w:rPr>
              <w:t>Xing Chen , Xindi Guan , Hailin Zhang , Wenke Liu , Yunwu Han , Jiachun Xiong , Shili Zheng , Yi Zhang , Xin Zhang , Jianwei Zhao , Ping Li*</w:t>
            </w:r>
            <w:r>
              <w:rPr>
                <w:rFonts w:hint="eastAsia" w:ascii="Times New Roman"/>
                <w:color w:val="000000"/>
              </w:rPr>
              <w:t xml:space="preserve"> </w:t>
            </w:r>
          </w:p>
        </w:tc>
      </w:tr>
    </w:tbl>
    <w:p w14:paraId="15D29FBB">
      <w:pPr>
        <w:spacing w:before="156" w:beforeLines="50" w:after="156" w:afterLines="50" w:line="560" w:lineRule="exact"/>
        <w:ind w:firstLine="643" w:firstLineChars="200"/>
        <w:rPr>
          <w:rFonts w:ascii="Times New Roman" w:hAnsi="Times New Roman" w:eastAsia="楷体" w:cs="Times New Roman"/>
          <w:b/>
          <w:sz w:val="32"/>
          <w:szCs w:val="32"/>
        </w:rPr>
      </w:pPr>
      <w:r>
        <w:rPr>
          <w:rFonts w:hint="eastAsia" w:ascii="Times New Roman" w:hAnsi="Times New Roman" w:eastAsia="楷体" w:cs="Times New Roman"/>
          <w:b/>
          <w:sz w:val="32"/>
          <w:szCs w:val="32"/>
        </w:rPr>
        <w:t>4、成员贡献情况</w:t>
      </w:r>
    </w:p>
    <w:tbl>
      <w:tblPr>
        <w:tblStyle w:val="6"/>
        <w:tblW w:w="532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34"/>
        <w:gridCol w:w="4110"/>
        <w:gridCol w:w="2976"/>
      </w:tblGrid>
      <w:tr w14:paraId="3019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4C468327">
            <w:pPr>
              <w:jc w:val="center"/>
              <w:rPr>
                <w:rFonts w:hint="eastAsia" w:asciiTheme="minorEastAsia" w:hAnsiTheme="minorEastAsia"/>
                <w:bCs/>
                <w:sz w:val="24"/>
                <w:szCs w:val="24"/>
              </w:rPr>
            </w:pPr>
            <w:r>
              <w:rPr>
                <w:rFonts w:hint="eastAsia" w:asciiTheme="minorEastAsia" w:hAnsiTheme="minorEastAsia"/>
                <w:bCs/>
                <w:sz w:val="24"/>
                <w:szCs w:val="24"/>
              </w:rPr>
              <w:t>排序</w:t>
            </w:r>
          </w:p>
        </w:tc>
        <w:tc>
          <w:tcPr>
            <w:tcW w:w="625" w:type="pct"/>
            <w:tcBorders>
              <w:top w:val="single" w:color="auto" w:sz="4" w:space="0"/>
              <w:left w:val="single" w:color="auto" w:sz="4" w:space="0"/>
              <w:bottom w:val="single" w:color="auto" w:sz="4" w:space="0"/>
              <w:right w:val="single" w:color="auto" w:sz="4" w:space="0"/>
            </w:tcBorders>
          </w:tcPr>
          <w:p w14:paraId="48224E2D">
            <w:pPr>
              <w:jc w:val="center"/>
              <w:rPr>
                <w:rFonts w:hint="eastAsia" w:asciiTheme="minorEastAsia" w:hAnsiTheme="minorEastAsia"/>
                <w:bCs/>
                <w:sz w:val="24"/>
                <w:szCs w:val="24"/>
              </w:rPr>
            </w:pPr>
            <w:r>
              <w:rPr>
                <w:rFonts w:hint="eastAsia" w:asciiTheme="minorEastAsia" w:hAnsiTheme="minorEastAsia"/>
                <w:bCs/>
                <w:sz w:val="24"/>
                <w:szCs w:val="24"/>
              </w:rPr>
              <w:t>姓名</w:t>
            </w:r>
          </w:p>
        </w:tc>
        <w:tc>
          <w:tcPr>
            <w:tcW w:w="2265" w:type="pct"/>
            <w:tcBorders>
              <w:top w:val="single" w:color="auto" w:sz="4" w:space="0"/>
              <w:left w:val="single" w:color="auto" w:sz="4" w:space="0"/>
              <w:bottom w:val="single" w:color="auto" w:sz="4" w:space="0"/>
              <w:right w:val="single" w:color="auto" w:sz="4" w:space="0"/>
            </w:tcBorders>
          </w:tcPr>
          <w:p w14:paraId="671DFA79">
            <w:pPr>
              <w:jc w:val="center"/>
              <w:rPr>
                <w:rFonts w:hint="eastAsia" w:asciiTheme="minorEastAsia" w:hAnsiTheme="minorEastAsia"/>
                <w:bCs/>
                <w:sz w:val="24"/>
                <w:szCs w:val="24"/>
              </w:rPr>
            </w:pPr>
            <w:r>
              <w:rPr>
                <w:rFonts w:hint="eastAsia" w:asciiTheme="minorEastAsia" w:hAnsiTheme="minorEastAsia"/>
                <w:bCs/>
                <w:sz w:val="24"/>
                <w:szCs w:val="24"/>
              </w:rPr>
              <w:t>工作单位</w:t>
            </w:r>
          </w:p>
        </w:tc>
        <w:tc>
          <w:tcPr>
            <w:tcW w:w="1640" w:type="pct"/>
            <w:tcBorders>
              <w:top w:val="single" w:color="auto" w:sz="4" w:space="0"/>
              <w:left w:val="single" w:color="auto" w:sz="4" w:space="0"/>
              <w:bottom w:val="single" w:color="auto" w:sz="4" w:space="0"/>
              <w:right w:val="single" w:color="auto" w:sz="4" w:space="0"/>
            </w:tcBorders>
          </w:tcPr>
          <w:p w14:paraId="041EE3E7">
            <w:pPr>
              <w:jc w:val="center"/>
              <w:rPr>
                <w:rFonts w:hint="eastAsia" w:asciiTheme="minorEastAsia" w:hAnsiTheme="minorEastAsia"/>
                <w:bCs/>
                <w:sz w:val="24"/>
                <w:szCs w:val="24"/>
              </w:rPr>
            </w:pPr>
            <w:r>
              <w:rPr>
                <w:rFonts w:hint="eastAsia" w:asciiTheme="minorEastAsia" w:hAnsiTheme="minorEastAsia"/>
                <w:bCs/>
                <w:sz w:val="24"/>
                <w:szCs w:val="24"/>
              </w:rPr>
              <w:t>主要贡献</w:t>
            </w:r>
          </w:p>
        </w:tc>
      </w:tr>
      <w:tr w14:paraId="69F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6A4BC3CA">
            <w:pPr>
              <w:jc w:val="left"/>
              <w:rPr>
                <w:rFonts w:ascii="Times New Roman" w:hAnsi="Times New Roman" w:cs="Times New Roman"/>
                <w:bCs/>
                <w:sz w:val="24"/>
                <w:szCs w:val="24"/>
              </w:rPr>
            </w:pPr>
            <w:r>
              <w:rPr>
                <w:rFonts w:ascii="Times New Roman" w:hAnsi="Times New Roman" w:cs="Times New Roman"/>
                <w:bCs/>
                <w:sz w:val="24"/>
                <w:szCs w:val="24"/>
              </w:rPr>
              <w:t>1</w:t>
            </w:r>
          </w:p>
        </w:tc>
        <w:tc>
          <w:tcPr>
            <w:tcW w:w="625" w:type="pct"/>
            <w:tcBorders>
              <w:top w:val="single" w:color="auto" w:sz="4" w:space="0"/>
              <w:left w:val="single" w:color="auto" w:sz="4" w:space="0"/>
              <w:bottom w:val="single" w:color="auto" w:sz="4" w:space="0"/>
              <w:right w:val="single" w:color="auto" w:sz="4" w:space="0"/>
            </w:tcBorders>
          </w:tcPr>
          <w:p w14:paraId="77A30C66">
            <w:pPr>
              <w:jc w:val="left"/>
              <w:rPr>
                <w:rFonts w:ascii="Times New Roman" w:hAnsi="Times New Roman" w:cs="Times New Roman"/>
                <w:bCs/>
                <w:sz w:val="24"/>
                <w:szCs w:val="24"/>
              </w:rPr>
            </w:pPr>
            <w:r>
              <w:rPr>
                <w:rFonts w:ascii="Times New Roman" w:hAnsi="Times New Roman" w:cs="Times New Roman"/>
                <w:bCs/>
                <w:sz w:val="24"/>
                <w:szCs w:val="24"/>
              </w:rPr>
              <w:t>齐涛</w:t>
            </w:r>
          </w:p>
        </w:tc>
        <w:tc>
          <w:tcPr>
            <w:tcW w:w="2265" w:type="pct"/>
            <w:tcBorders>
              <w:top w:val="single" w:color="auto" w:sz="4" w:space="0"/>
              <w:left w:val="single" w:color="auto" w:sz="4" w:space="0"/>
              <w:bottom w:val="single" w:color="auto" w:sz="4" w:space="0"/>
              <w:right w:val="single" w:color="auto" w:sz="4" w:space="0"/>
            </w:tcBorders>
          </w:tcPr>
          <w:p w14:paraId="451F9419">
            <w:pPr>
              <w:jc w:val="left"/>
              <w:rPr>
                <w:rFonts w:ascii="Times New Roman" w:hAnsi="Times New Roman" w:cs="Times New Roman"/>
                <w:bCs/>
                <w:sz w:val="24"/>
                <w:szCs w:val="24"/>
              </w:rPr>
            </w:pPr>
            <w:r>
              <w:rPr>
                <w:rFonts w:ascii="Times New Roman" w:hAnsi="Times New Roman" w:cs="Times New Roman"/>
                <w:bCs/>
                <w:sz w:val="24"/>
                <w:szCs w:val="24"/>
              </w:rPr>
              <w:t>中国科学院赣江创新研究院</w:t>
            </w:r>
          </w:p>
        </w:tc>
        <w:tc>
          <w:tcPr>
            <w:tcW w:w="1640" w:type="pct"/>
            <w:tcBorders>
              <w:top w:val="single" w:color="auto" w:sz="4" w:space="0"/>
              <w:left w:val="single" w:color="auto" w:sz="4" w:space="0"/>
              <w:bottom w:val="single" w:color="auto" w:sz="4" w:space="0"/>
              <w:right w:val="single" w:color="auto" w:sz="4" w:space="0"/>
            </w:tcBorders>
          </w:tcPr>
          <w:p w14:paraId="67816469">
            <w:pPr>
              <w:jc w:val="left"/>
              <w:rPr>
                <w:rFonts w:ascii="Times New Roman" w:hAnsi="Times New Roman" w:cs="Times New Roman"/>
                <w:bCs/>
                <w:sz w:val="24"/>
                <w:szCs w:val="24"/>
              </w:rPr>
            </w:pPr>
            <w:r>
              <w:rPr>
                <w:rFonts w:ascii="Times New Roman" w:hAnsi="Times New Roman" w:cs="Times New Roman"/>
                <w:bCs/>
                <w:sz w:val="24"/>
                <w:szCs w:val="24"/>
              </w:rPr>
              <w:t>作为项目</w:t>
            </w:r>
            <w:r>
              <w:rPr>
                <w:rFonts w:hint="eastAsia" w:ascii="Times New Roman" w:hAnsi="Times New Roman" w:cs="Times New Roman"/>
                <w:bCs/>
                <w:sz w:val="24"/>
                <w:szCs w:val="24"/>
              </w:rPr>
              <w:t>总</w:t>
            </w:r>
            <w:r>
              <w:rPr>
                <w:rFonts w:ascii="Times New Roman" w:hAnsi="Times New Roman" w:cs="Times New Roman"/>
                <w:bCs/>
                <w:sz w:val="24"/>
                <w:szCs w:val="24"/>
              </w:rPr>
              <w:t>负责人，主导了稀土、锂、铬资源绿色高效利用技术开发与实施，开发了非常规介质多金属高效转化—选择性分离—介质再生循环等系列关键共性技术，构建了从技术原型-技术示范-产业化应用的系统性创新体系，</w:t>
            </w:r>
            <w:r>
              <w:rPr>
                <w:rFonts w:hint="eastAsia" w:ascii="Times New Roman" w:hAnsi="Times New Roman" w:cs="Times New Roman"/>
                <w:bCs/>
                <w:sz w:val="24"/>
                <w:szCs w:val="24"/>
              </w:rPr>
              <w:t>多项技术实现大规模产业化应用，</w:t>
            </w:r>
            <w:r>
              <w:rPr>
                <w:rFonts w:ascii="Times New Roman" w:hAnsi="Times New Roman" w:cs="Times New Roman"/>
                <w:bCs/>
                <w:sz w:val="24"/>
                <w:szCs w:val="24"/>
              </w:rPr>
              <w:t>对创新点1，2，3作出了重要贡献</w:t>
            </w:r>
          </w:p>
        </w:tc>
      </w:tr>
      <w:tr w14:paraId="4DAB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1F961B3D">
            <w:pPr>
              <w:jc w:val="left"/>
              <w:rPr>
                <w:rFonts w:ascii="Times New Roman" w:hAnsi="Times New Roman" w:cs="Times New Roman"/>
                <w:bCs/>
                <w:sz w:val="24"/>
                <w:szCs w:val="24"/>
              </w:rPr>
            </w:pPr>
            <w:r>
              <w:rPr>
                <w:rFonts w:ascii="Times New Roman" w:hAnsi="Times New Roman" w:cs="Times New Roman"/>
                <w:bCs/>
                <w:sz w:val="24"/>
                <w:szCs w:val="24"/>
              </w:rPr>
              <w:t>2</w:t>
            </w:r>
          </w:p>
        </w:tc>
        <w:tc>
          <w:tcPr>
            <w:tcW w:w="625" w:type="pct"/>
            <w:tcBorders>
              <w:top w:val="single" w:color="auto" w:sz="4" w:space="0"/>
              <w:left w:val="single" w:color="auto" w:sz="4" w:space="0"/>
              <w:bottom w:val="single" w:color="auto" w:sz="4" w:space="0"/>
              <w:right w:val="single" w:color="auto" w:sz="4" w:space="0"/>
            </w:tcBorders>
          </w:tcPr>
          <w:p w14:paraId="5C9FC07C">
            <w:pPr>
              <w:jc w:val="left"/>
              <w:rPr>
                <w:rFonts w:ascii="Times New Roman" w:hAnsi="Times New Roman" w:cs="Times New Roman"/>
                <w:bCs/>
                <w:sz w:val="24"/>
                <w:szCs w:val="24"/>
              </w:rPr>
            </w:pPr>
            <w:r>
              <w:rPr>
                <w:rFonts w:ascii="Times New Roman" w:hAnsi="Times New Roman" w:cs="Times New Roman"/>
                <w:bCs/>
                <w:sz w:val="24"/>
                <w:szCs w:val="24"/>
              </w:rPr>
              <w:t>朱兆武</w:t>
            </w:r>
          </w:p>
        </w:tc>
        <w:tc>
          <w:tcPr>
            <w:tcW w:w="2265" w:type="pct"/>
            <w:tcBorders>
              <w:top w:val="single" w:color="auto" w:sz="4" w:space="0"/>
              <w:left w:val="single" w:color="auto" w:sz="4" w:space="0"/>
              <w:bottom w:val="single" w:color="auto" w:sz="4" w:space="0"/>
              <w:right w:val="single" w:color="auto" w:sz="4" w:space="0"/>
            </w:tcBorders>
          </w:tcPr>
          <w:p w14:paraId="77A84044">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0CB66E23">
            <w:pPr>
              <w:jc w:val="left"/>
              <w:rPr>
                <w:rFonts w:ascii="Times New Roman" w:hAnsi="Times New Roman" w:cs="Times New Roman"/>
                <w:bCs/>
                <w:sz w:val="24"/>
                <w:szCs w:val="24"/>
              </w:rPr>
            </w:pPr>
            <w:r>
              <w:rPr>
                <w:rFonts w:ascii="Times New Roman" w:hAnsi="Times New Roman" w:cs="Times New Roman"/>
                <w:bCs/>
                <w:sz w:val="24"/>
                <w:szCs w:val="24"/>
              </w:rPr>
              <w:t>作为项目核心成员，牵头构建多组分协同萃取、多官能团螯合配位及功能化吸附提锂体系，揭示关键传质与螯合机理，指导团队实验攻关，带队推进青藏提锂产线落地，对创新点2做出了重要贡献。</w:t>
            </w:r>
          </w:p>
        </w:tc>
      </w:tr>
      <w:tr w14:paraId="74B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575EECD1">
            <w:pPr>
              <w:jc w:val="left"/>
              <w:rPr>
                <w:rFonts w:ascii="Times New Roman" w:hAnsi="Times New Roman" w:cs="Times New Roman"/>
                <w:bCs/>
                <w:sz w:val="24"/>
                <w:szCs w:val="24"/>
              </w:rPr>
            </w:pPr>
            <w:r>
              <w:rPr>
                <w:rFonts w:ascii="Times New Roman" w:hAnsi="Times New Roman" w:cs="Times New Roman"/>
                <w:bCs/>
                <w:sz w:val="24"/>
                <w:szCs w:val="24"/>
              </w:rPr>
              <w:t>3</w:t>
            </w:r>
          </w:p>
        </w:tc>
        <w:tc>
          <w:tcPr>
            <w:tcW w:w="625" w:type="pct"/>
            <w:tcBorders>
              <w:top w:val="single" w:color="auto" w:sz="4" w:space="0"/>
              <w:left w:val="single" w:color="auto" w:sz="4" w:space="0"/>
              <w:bottom w:val="single" w:color="auto" w:sz="4" w:space="0"/>
              <w:right w:val="single" w:color="auto" w:sz="4" w:space="0"/>
            </w:tcBorders>
          </w:tcPr>
          <w:p w14:paraId="6FAFEC68">
            <w:pPr>
              <w:jc w:val="left"/>
              <w:rPr>
                <w:rFonts w:ascii="Times New Roman" w:hAnsi="Times New Roman" w:cs="Times New Roman"/>
                <w:bCs/>
                <w:sz w:val="24"/>
                <w:szCs w:val="24"/>
              </w:rPr>
            </w:pPr>
            <w:r>
              <w:rPr>
                <w:rFonts w:ascii="Times New Roman" w:hAnsi="Times New Roman" w:cs="Times New Roman"/>
                <w:bCs/>
                <w:sz w:val="24"/>
                <w:szCs w:val="24"/>
              </w:rPr>
              <w:t>李平</w:t>
            </w:r>
          </w:p>
        </w:tc>
        <w:tc>
          <w:tcPr>
            <w:tcW w:w="2265" w:type="pct"/>
            <w:tcBorders>
              <w:top w:val="single" w:color="auto" w:sz="4" w:space="0"/>
              <w:left w:val="single" w:color="auto" w:sz="4" w:space="0"/>
              <w:bottom w:val="single" w:color="auto" w:sz="4" w:space="0"/>
              <w:right w:val="single" w:color="auto" w:sz="4" w:space="0"/>
            </w:tcBorders>
          </w:tcPr>
          <w:p w14:paraId="4B0D53DB">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5956DEFC">
            <w:pPr>
              <w:jc w:val="left"/>
              <w:rPr>
                <w:rFonts w:ascii="Times New Roman" w:hAnsi="Times New Roman" w:cs="Times New Roman"/>
                <w:bCs/>
                <w:sz w:val="24"/>
                <w:szCs w:val="24"/>
              </w:rPr>
            </w:pPr>
            <w:r>
              <w:rPr>
                <w:rFonts w:ascii="Times New Roman" w:hAnsi="Times New Roman" w:cs="Times New Roman"/>
                <w:bCs/>
                <w:sz w:val="24"/>
                <w:szCs w:val="24"/>
              </w:rPr>
              <w:t>作为项目核心成员，创新性研发了</w:t>
            </w:r>
            <w:r>
              <w:rPr>
                <w:rFonts w:ascii="Times New Roman" w:hAnsi="Times New Roman" w:cs="Times New Roman"/>
                <w:sz w:val="24"/>
              </w:rPr>
              <w:t>高氟稀土深度脱氟技术，钕铁硼废料清洁高效循环利用技术，发明了铝可控水解新方法，高选择性分离铬钒相似元素，多项技术实现了大规模工业化应用，</w:t>
            </w:r>
            <w:r>
              <w:rPr>
                <w:rFonts w:ascii="Times New Roman" w:hAnsi="Times New Roman" w:cs="Times New Roman"/>
                <w:bCs/>
                <w:sz w:val="24"/>
                <w:szCs w:val="24"/>
              </w:rPr>
              <w:t>对创新点1，3做出了重要贡献。</w:t>
            </w:r>
          </w:p>
        </w:tc>
      </w:tr>
      <w:tr w14:paraId="502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6AA48A97">
            <w:pPr>
              <w:jc w:val="left"/>
              <w:rPr>
                <w:rFonts w:ascii="Times New Roman" w:hAnsi="Times New Roman" w:cs="Times New Roman"/>
                <w:bCs/>
                <w:sz w:val="24"/>
                <w:szCs w:val="24"/>
              </w:rPr>
            </w:pPr>
            <w:r>
              <w:rPr>
                <w:rFonts w:ascii="Times New Roman" w:hAnsi="Times New Roman" w:cs="Times New Roman"/>
                <w:bCs/>
                <w:sz w:val="24"/>
                <w:szCs w:val="24"/>
              </w:rPr>
              <w:t>4</w:t>
            </w:r>
          </w:p>
        </w:tc>
        <w:tc>
          <w:tcPr>
            <w:tcW w:w="625" w:type="pct"/>
            <w:tcBorders>
              <w:top w:val="single" w:color="auto" w:sz="4" w:space="0"/>
              <w:left w:val="single" w:color="auto" w:sz="4" w:space="0"/>
              <w:bottom w:val="single" w:color="auto" w:sz="4" w:space="0"/>
              <w:right w:val="single" w:color="auto" w:sz="4" w:space="0"/>
            </w:tcBorders>
          </w:tcPr>
          <w:p w14:paraId="4565A9BB">
            <w:pPr>
              <w:jc w:val="left"/>
              <w:rPr>
                <w:rFonts w:ascii="Times New Roman" w:hAnsi="Times New Roman" w:cs="Times New Roman"/>
                <w:bCs/>
                <w:sz w:val="24"/>
                <w:szCs w:val="24"/>
              </w:rPr>
            </w:pPr>
            <w:r>
              <w:rPr>
                <w:rFonts w:ascii="Times New Roman" w:hAnsi="Times New Roman" w:cs="Times New Roman"/>
                <w:bCs/>
                <w:sz w:val="24"/>
                <w:szCs w:val="24"/>
              </w:rPr>
              <w:t>于宏东</w:t>
            </w:r>
          </w:p>
        </w:tc>
        <w:tc>
          <w:tcPr>
            <w:tcW w:w="2265" w:type="pct"/>
            <w:tcBorders>
              <w:top w:val="single" w:color="auto" w:sz="4" w:space="0"/>
              <w:left w:val="single" w:color="auto" w:sz="4" w:space="0"/>
              <w:bottom w:val="single" w:color="auto" w:sz="4" w:space="0"/>
              <w:right w:val="single" w:color="auto" w:sz="4" w:space="0"/>
            </w:tcBorders>
          </w:tcPr>
          <w:p w14:paraId="682D53D5">
            <w:pPr>
              <w:jc w:val="left"/>
              <w:rPr>
                <w:rFonts w:ascii="Times New Roman" w:hAnsi="Times New Roman" w:cs="Times New Roman"/>
                <w:bCs/>
                <w:sz w:val="24"/>
                <w:szCs w:val="24"/>
              </w:rPr>
            </w:pPr>
            <w:r>
              <w:rPr>
                <w:rFonts w:ascii="Times New Roman" w:hAnsi="Times New Roman" w:cs="Times New Roman"/>
                <w:bCs/>
                <w:sz w:val="24"/>
                <w:szCs w:val="24"/>
              </w:rPr>
              <w:t>中国科学院赣江创新研究院</w:t>
            </w:r>
          </w:p>
        </w:tc>
        <w:tc>
          <w:tcPr>
            <w:tcW w:w="1640" w:type="pct"/>
            <w:tcBorders>
              <w:top w:val="single" w:color="auto" w:sz="4" w:space="0"/>
              <w:left w:val="single" w:color="auto" w:sz="4" w:space="0"/>
              <w:bottom w:val="single" w:color="auto" w:sz="4" w:space="0"/>
              <w:right w:val="single" w:color="auto" w:sz="4" w:space="0"/>
            </w:tcBorders>
          </w:tcPr>
          <w:p w14:paraId="2DF5F79C">
            <w:pPr>
              <w:jc w:val="left"/>
              <w:rPr>
                <w:rFonts w:ascii="Times New Roman" w:hAnsi="Times New Roman" w:cs="Times New Roman"/>
                <w:bCs/>
                <w:sz w:val="24"/>
                <w:szCs w:val="24"/>
              </w:rPr>
            </w:pPr>
            <w:r>
              <w:rPr>
                <w:rFonts w:ascii="Times New Roman" w:hAnsi="Times New Roman" w:cs="Times New Roman"/>
                <w:bCs/>
                <w:sz w:val="24"/>
                <w:szCs w:val="24"/>
              </w:rPr>
              <w:t>作为项目的主要完成人，</w:t>
            </w:r>
            <w:r>
              <w:rPr>
                <w:rFonts w:hint="eastAsia" w:ascii="Times New Roman" w:hAnsi="Times New Roman" w:cs="Times New Roman"/>
                <w:bCs/>
                <w:sz w:val="24"/>
                <w:szCs w:val="24"/>
              </w:rPr>
              <w:t>创新性研发了离子型稀土矿铵盐历史采区硫酸镁淋洗氨氮关键技术，开发了利用鸟粪石结晶法回收废水中的氨氮和镁的结晶技术，作为主要技术负责人推动其工业化应用，对创新点1作出了重要贡献。</w:t>
            </w:r>
          </w:p>
        </w:tc>
      </w:tr>
      <w:tr w14:paraId="1B53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23ADC4B2">
            <w:pPr>
              <w:jc w:val="left"/>
              <w:rPr>
                <w:rFonts w:ascii="Times New Roman" w:hAnsi="Times New Roman" w:cs="Times New Roman"/>
                <w:bCs/>
                <w:sz w:val="24"/>
                <w:szCs w:val="24"/>
              </w:rPr>
            </w:pPr>
            <w:r>
              <w:rPr>
                <w:rFonts w:ascii="Times New Roman" w:hAnsi="Times New Roman" w:cs="Times New Roman"/>
                <w:bCs/>
                <w:sz w:val="24"/>
                <w:szCs w:val="24"/>
              </w:rPr>
              <w:t>5</w:t>
            </w:r>
          </w:p>
        </w:tc>
        <w:tc>
          <w:tcPr>
            <w:tcW w:w="625" w:type="pct"/>
            <w:tcBorders>
              <w:top w:val="single" w:color="auto" w:sz="4" w:space="0"/>
              <w:left w:val="single" w:color="auto" w:sz="4" w:space="0"/>
              <w:bottom w:val="single" w:color="auto" w:sz="4" w:space="0"/>
              <w:right w:val="single" w:color="auto" w:sz="4" w:space="0"/>
            </w:tcBorders>
          </w:tcPr>
          <w:p w14:paraId="5C5F9CE8">
            <w:pPr>
              <w:jc w:val="left"/>
              <w:rPr>
                <w:rFonts w:ascii="Times New Roman" w:hAnsi="Times New Roman" w:cs="Times New Roman"/>
                <w:bCs/>
                <w:sz w:val="24"/>
                <w:szCs w:val="24"/>
              </w:rPr>
            </w:pPr>
            <w:r>
              <w:rPr>
                <w:rFonts w:ascii="Times New Roman" w:hAnsi="Times New Roman" w:cs="Times New Roman"/>
                <w:bCs/>
                <w:sz w:val="24"/>
                <w:szCs w:val="24"/>
              </w:rPr>
              <w:t>王丽娜</w:t>
            </w:r>
          </w:p>
        </w:tc>
        <w:tc>
          <w:tcPr>
            <w:tcW w:w="2265" w:type="pct"/>
            <w:tcBorders>
              <w:top w:val="single" w:color="auto" w:sz="4" w:space="0"/>
              <w:left w:val="single" w:color="auto" w:sz="4" w:space="0"/>
              <w:bottom w:val="single" w:color="auto" w:sz="4" w:space="0"/>
              <w:right w:val="single" w:color="auto" w:sz="4" w:space="0"/>
            </w:tcBorders>
          </w:tcPr>
          <w:p w14:paraId="5B134B9E">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0E48D65A">
            <w:pPr>
              <w:jc w:val="left"/>
              <w:rPr>
                <w:rFonts w:ascii="Times New Roman" w:hAnsi="Times New Roman" w:cs="Times New Roman"/>
                <w:bCs/>
                <w:sz w:val="24"/>
                <w:szCs w:val="24"/>
              </w:rPr>
            </w:pPr>
            <w:r>
              <w:rPr>
                <w:rFonts w:ascii="Times New Roman" w:hAnsi="Times New Roman" w:cs="Times New Roman"/>
                <w:bCs/>
                <w:sz w:val="24"/>
                <w:szCs w:val="24"/>
              </w:rPr>
              <w:t>作为项目的主要完成人，</w:t>
            </w:r>
            <w:r>
              <w:rPr>
                <w:rFonts w:hint="eastAsia" w:ascii="Times New Roman" w:hAnsi="Times New Roman" w:cs="Times New Roman"/>
                <w:bCs/>
                <w:sz w:val="24"/>
                <w:szCs w:val="24"/>
              </w:rPr>
              <w:t>参与研发了水反萃和三相反应的盐湖高效提锂技术，以及创新提出钒铬高效萃取分离技术并完成中试验证，推进了相关技术的示范应用，对创新点2和3做出了重要贡献</w:t>
            </w:r>
            <w:r>
              <w:rPr>
                <w:rFonts w:ascii="Times New Roman" w:hAnsi="Times New Roman" w:cs="Times New Roman"/>
                <w:bCs/>
                <w:sz w:val="24"/>
                <w:szCs w:val="24"/>
              </w:rPr>
              <w:t>。</w:t>
            </w:r>
          </w:p>
        </w:tc>
      </w:tr>
      <w:tr w14:paraId="4F8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7E562CE9">
            <w:pPr>
              <w:jc w:val="left"/>
              <w:rPr>
                <w:rFonts w:ascii="Times New Roman" w:hAnsi="Times New Roman" w:cs="Times New Roman"/>
                <w:bCs/>
                <w:sz w:val="24"/>
                <w:szCs w:val="24"/>
              </w:rPr>
            </w:pPr>
            <w:r>
              <w:rPr>
                <w:rFonts w:ascii="Times New Roman" w:hAnsi="Times New Roman" w:cs="Times New Roman"/>
                <w:bCs/>
                <w:sz w:val="24"/>
                <w:szCs w:val="24"/>
              </w:rPr>
              <w:t>6</w:t>
            </w:r>
          </w:p>
        </w:tc>
        <w:tc>
          <w:tcPr>
            <w:tcW w:w="625" w:type="pct"/>
            <w:tcBorders>
              <w:top w:val="single" w:color="auto" w:sz="4" w:space="0"/>
              <w:left w:val="single" w:color="auto" w:sz="4" w:space="0"/>
              <w:bottom w:val="single" w:color="auto" w:sz="4" w:space="0"/>
              <w:right w:val="single" w:color="auto" w:sz="4" w:space="0"/>
            </w:tcBorders>
          </w:tcPr>
          <w:p w14:paraId="4B05D876">
            <w:pPr>
              <w:jc w:val="left"/>
              <w:rPr>
                <w:rFonts w:ascii="Times New Roman" w:hAnsi="Times New Roman" w:cs="Times New Roman"/>
                <w:bCs/>
                <w:sz w:val="24"/>
                <w:szCs w:val="24"/>
              </w:rPr>
            </w:pPr>
            <w:r>
              <w:rPr>
                <w:rFonts w:ascii="Times New Roman" w:hAnsi="Times New Roman" w:cs="Times New Roman"/>
                <w:bCs/>
                <w:sz w:val="24"/>
                <w:szCs w:val="24"/>
              </w:rPr>
              <w:t>万印华</w:t>
            </w:r>
          </w:p>
        </w:tc>
        <w:tc>
          <w:tcPr>
            <w:tcW w:w="2265" w:type="pct"/>
            <w:tcBorders>
              <w:top w:val="single" w:color="auto" w:sz="4" w:space="0"/>
              <w:left w:val="single" w:color="auto" w:sz="4" w:space="0"/>
              <w:bottom w:val="single" w:color="auto" w:sz="4" w:space="0"/>
              <w:right w:val="single" w:color="auto" w:sz="4" w:space="0"/>
            </w:tcBorders>
          </w:tcPr>
          <w:p w14:paraId="3A4DFD69">
            <w:pPr>
              <w:jc w:val="left"/>
              <w:rPr>
                <w:rFonts w:ascii="Times New Roman" w:hAnsi="Times New Roman" w:cs="Times New Roman"/>
                <w:bCs/>
                <w:sz w:val="24"/>
                <w:szCs w:val="24"/>
              </w:rPr>
            </w:pPr>
            <w:r>
              <w:rPr>
                <w:rFonts w:ascii="Times New Roman" w:hAnsi="Times New Roman" w:cs="Times New Roman"/>
                <w:bCs/>
                <w:sz w:val="24"/>
                <w:szCs w:val="24"/>
              </w:rPr>
              <w:t>中国科学院赣江创新研究院</w:t>
            </w:r>
          </w:p>
        </w:tc>
        <w:tc>
          <w:tcPr>
            <w:tcW w:w="1640" w:type="pct"/>
            <w:tcBorders>
              <w:top w:val="single" w:color="auto" w:sz="4" w:space="0"/>
              <w:left w:val="single" w:color="auto" w:sz="4" w:space="0"/>
              <w:bottom w:val="single" w:color="auto" w:sz="4" w:space="0"/>
              <w:right w:val="single" w:color="auto" w:sz="4" w:space="0"/>
            </w:tcBorders>
          </w:tcPr>
          <w:p w14:paraId="5CFF771D">
            <w:pPr>
              <w:jc w:val="left"/>
              <w:rPr>
                <w:rFonts w:ascii="Times New Roman" w:hAnsi="Times New Roman" w:cs="Times New Roman"/>
                <w:bCs/>
                <w:sz w:val="24"/>
                <w:szCs w:val="24"/>
              </w:rPr>
            </w:pPr>
            <w:r>
              <w:rPr>
                <w:rFonts w:hint="eastAsia" w:ascii="Times New Roman" w:hAnsi="Times New Roman" w:cs="Times New Roman"/>
                <w:bCs/>
                <w:sz w:val="24"/>
                <w:szCs w:val="24"/>
              </w:rPr>
              <w:t>作为项目主要完成人，主导了离子型稀土矿铵盐历史采区氨氮污染物减量及资源化成套技术的研发，并推进了该项技术在江西省龙南市足洞稀土矿区的工业化应用，对创新点1作出了重要贡献。</w:t>
            </w:r>
          </w:p>
        </w:tc>
      </w:tr>
      <w:tr w14:paraId="5FBE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7B3E8453">
            <w:pPr>
              <w:jc w:val="left"/>
              <w:rPr>
                <w:rFonts w:ascii="Times New Roman" w:hAnsi="Times New Roman" w:cs="Times New Roman"/>
                <w:bCs/>
                <w:sz w:val="24"/>
                <w:szCs w:val="24"/>
              </w:rPr>
            </w:pPr>
            <w:r>
              <w:rPr>
                <w:rFonts w:ascii="Times New Roman" w:hAnsi="Times New Roman" w:cs="Times New Roman"/>
                <w:bCs/>
                <w:sz w:val="24"/>
                <w:szCs w:val="24"/>
              </w:rPr>
              <w:t>7</w:t>
            </w:r>
          </w:p>
        </w:tc>
        <w:tc>
          <w:tcPr>
            <w:tcW w:w="625" w:type="pct"/>
            <w:tcBorders>
              <w:top w:val="single" w:color="auto" w:sz="4" w:space="0"/>
              <w:left w:val="single" w:color="auto" w:sz="4" w:space="0"/>
              <w:bottom w:val="single" w:color="auto" w:sz="4" w:space="0"/>
              <w:right w:val="single" w:color="auto" w:sz="4" w:space="0"/>
            </w:tcBorders>
          </w:tcPr>
          <w:p w14:paraId="286761CF">
            <w:pPr>
              <w:jc w:val="left"/>
              <w:rPr>
                <w:rFonts w:ascii="Times New Roman" w:hAnsi="Times New Roman" w:cs="Times New Roman"/>
                <w:bCs/>
                <w:sz w:val="24"/>
                <w:szCs w:val="24"/>
              </w:rPr>
            </w:pPr>
            <w:r>
              <w:rPr>
                <w:rFonts w:ascii="Times New Roman" w:hAnsi="Times New Roman" w:cs="Times New Roman"/>
                <w:bCs/>
                <w:sz w:val="24"/>
                <w:szCs w:val="24"/>
              </w:rPr>
              <w:t>苏慧</w:t>
            </w:r>
          </w:p>
        </w:tc>
        <w:tc>
          <w:tcPr>
            <w:tcW w:w="2265" w:type="pct"/>
            <w:tcBorders>
              <w:top w:val="single" w:color="auto" w:sz="4" w:space="0"/>
              <w:left w:val="single" w:color="auto" w:sz="4" w:space="0"/>
              <w:bottom w:val="single" w:color="auto" w:sz="4" w:space="0"/>
              <w:right w:val="single" w:color="auto" w:sz="4" w:space="0"/>
            </w:tcBorders>
          </w:tcPr>
          <w:p w14:paraId="21200D34">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65A756E9">
            <w:pPr>
              <w:jc w:val="left"/>
              <w:rPr>
                <w:rFonts w:ascii="Times New Roman" w:hAnsi="Times New Roman" w:cs="Times New Roman"/>
                <w:bCs/>
                <w:sz w:val="24"/>
                <w:szCs w:val="24"/>
              </w:rPr>
            </w:pPr>
            <w:r>
              <w:rPr>
                <w:rFonts w:ascii="Times New Roman" w:hAnsi="Times New Roman" w:cs="Times New Roman"/>
                <w:bCs/>
                <w:sz w:val="24"/>
                <w:szCs w:val="24"/>
              </w:rPr>
              <w:t>作为项目的主要完成人，参与研发了水反萃和三相反应的盐湖高效提锂技术，开展“水反萃”提锂技术机理研究，探究氯离子浓度梯度调控传质规律，赴青海兴华锂盐参与现场试验，对创新点2做出了重要贡献</w:t>
            </w:r>
          </w:p>
        </w:tc>
      </w:tr>
      <w:tr w14:paraId="0026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42877BCB">
            <w:pPr>
              <w:jc w:val="left"/>
              <w:rPr>
                <w:rFonts w:ascii="Times New Roman" w:hAnsi="Times New Roman" w:cs="Times New Roman"/>
                <w:bCs/>
                <w:sz w:val="24"/>
                <w:szCs w:val="24"/>
              </w:rPr>
            </w:pPr>
            <w:r>
              <w:rPr>
                <w:rFonts w:ascii="Times New Roman" w:hAnsi="Times New Roman" w:cs="Times New Roman"/>
                <w:bCs/>
                <w:sz w:val="24"/>
                <w:szCs w:val="24"/>
              </w:rPr>
              <w:t>8</w:t>
            </w:r>
          </w:p>
        </w:tc>
        <w:tc>
          <w:tcPr>
            <w:tcW w:w="625" w:type="pct"/>
            <w:tcBorders>
              <w:top w:val="single" w:color="auto" w:sz="4" w:space="0"/>
              <w:left w:val="single" w:color="auto" w:sz="4" w:space="0"/>
              <w:bottom w:val="single" w:color="auto" w:sz="4" w:space="0"/>
              <w:right w:val="single" w:color="auto" w:sz="4" w:space="0"/>
            </w:tcBorders>
          </w:tcPr>
          <w:p w14:paraId="62A4F316">
            <w:pPr>
              <w:jc w:val="left"/>
              <w:rPr>
                <w:rFonts w:ascii="Times New Roman" w:hAnsi="Times New Roman" w:cs="Times New Roman"/>
                <w:bCs/>
                <w:sz w:val="24"/>
                <w:szCs w:val="24"/>
              </w:rPr>
            </w:pPr>
            <w:r>
              <w:rPr>
                <w:rFonts w:ascii="Times New Roman" w:hAnsi="Times New Roman" w:cs="Times New Roman"/>
                <w:bCs/>
                <w:sz w:val="24"/>
                <w:szCs w:val="24"/>
              </w:rPr>
              <w:t>曲景奎</w:t>
            </w:r>
          </w:p>
        </w:tc>
        <w:tc>
          <w:tcPr>
            <w:tcW w:w="2265" w:type="pct"/>
            <w:tcBorders>
              <w:top w:val="single" w:color="auto" w:sz="4" w:space="0"/>
              <w:left w:val="single" w:color="auto" w:sz="4" w:space="0"/>
              <w:bottom w:val="single" w:color="auto" w:sz="4" w:space="0"/>
              <w:right w:val="single" w:color="auto" w:sz="4" w:space="0"/>
            </w:tcBorders>
          </w:tcPr>
          <w:p w14:paraId="6D0E72C0">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5E550ED5">
            <w:pPr>
              <w:jc w:val="left"/>
              <w:rPr>
                <w:rFonts w:ascii="Times New Roman" w:hAnsi="Times New Roman" w:cs="Times New Roman"/>
                <w:bCs/>
                <w:sz w:val="24"/>
                <w:szCs w:val="24"/>
              </w:rPr>
            </w:pPr>
            <w:r>
              <w:rPr>
                <w:rFonts w:ascii="Times New Roman" w:hAnsi="Times New Roman" w:cs="Times New Roman"/>
                <w:bCs/>
                <w:sz w:val="24"/>
                <w:szCs w:val="24"/>
              </w:rPr>
              <w:t>作为项目的主要完成人，参与研发了</w:t>
            </w:r>
            <w:r>
              <w:rPr>
                <w:rFonts w:ascii="Times New Roman" w:hAnsi="Times New Roman" w:cs="Times New Roman"/>
                <w:sz w:val="24"/>
              </w:rPr>
              <w:t>铬酸盐中间体碳酸化制重铬酸钠新技术，实现再生碱介质循环，并开展了大规模工业化用用，</w:t>
            </w:r>
            <w:r>
              <w:rPr>
                <w:rFonts w:ascii="Times New Roman" w:hAnsi="Times New Roman" w:cs="Times New Roman"/>
                <w:bCs/>
                <w:sz w:val="24"/>
                <w:szCs w:val="24"/>
              </w:rPr>
              <w:t>对创新点3做出了重要贡献</w:t>
            </w:r>
          </w:p>
        </w:tc>
      </w:tr>
      <w:tr w14:paraId="25B7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39473944">
            <w:pPr>
              <w:jc w:val="left"/>
              <w:rPr>
                <w:rFonts w:ascii="Times New Roman" w:hAnsi="Times New Roman" w:cs="Times New Roman"/>
                <w:bCs/>
                <w:sz w:val="24"/>
                <w:szCs w:val="24"/>
              </w:rPr>
            </w:pPr>
            <w:r>
              <w:rPr>
                <w:rFonts w:ascii="Times New Roman" w:hAnsi="Times New Roman" w:cs="Times New Roman"/>
                <w:bCs/>
                <w:sz w:val="24"/>
                <w:szCs w:val="24"/>
              </w:rPr>
              <w:t>9</w:t>
            </w:r>
          </w:p>
        </w:tc>
        <w:tc>
          <w:tcPr>
            <w:tcW w:w="625" w:type="pct"/>
            <w:tcBorders>
              <w:top w:val="single" w:color="auto" w:sz="4" w:space="0"/>
              <w:left w:val="single" w:color="auto" w:sz="4" w:space="0"/>
              <w:bottom w:val="single" w:color="auto" w:sz="4" w:space="0"/>
              <w:right w:val="single" w:color="auto" w:sz="4" w:space="0"/>
            </w:tcBorders>
          </w:tcPr>
          <w:p w14:paraId="7C6CA876">
            <w:pPr>
              <w:jc w:val="left"/>
              <w:rPr>
                <w:rFonts w:ascii="Times New Roman" w:hAnsi="Times New Roman" w:cs="Times New Roman"/>
                <w:bCs/>
                <w:sz w:val="24"/>
                <w:szCs w:val="24"/>
              </w:rPr>
            </w:pPr>
            <w:r>
              <w:rPr>
                <w:rFonts w:ascii="Times New Roman" w:hAnsi="Times New Roman" w:cs="Times New Roman"/>
                <w:bCs/>
                <w:sz w:val="24"/>
                <w:szCs w:val="24"/>
              </w:rPr>
              <w:t>王勇</w:t>
            </w:r>
          </w:p>
        </w:tc>
        <w:tc>
          <w:tcPr>
            <w:tcW w:w="2265" w:type="pct"/>
            <w:tcBorders>
              <w:top w:val="single" w:color="auto" w:sz="4" w:space="0"/>
              <w:left w:val="single" w:color="auto" w:sz="4" w:space="0"/>
              <w:bottom w:val="single" w:color="auto" w:sz="4" w:space="0"/>
              <w:right w:val="single" w:color="auto" w:sz="4" w:space="0"/>
            </w:tcBorders>
          </w:tcPr>
          <w:p w14:paraId="6F87B0FF">
            <w:pPr>
              <w:jc w:val="left"/>
              <w:rPr>
                <w:rFonts w:ascii="Times New Roman" w:hAnsi="Times New Roman" w:cs="Times New Roman"/>
                <w:bCs/>
                <w:sz w:val="24"/>
                <w:szCs w:val="24"/>
              </w:rPr>
            </w:pPr>
            <w:r>
              <w:rPr>
                <w:rFonts w:ascii="Times New Roman" w:hAnsi="Times New Roman" w:cs="Times New Roman"/>
                <w:bCs/>
                <w:sz w:val="24"/>
                <w:szCs w:val="24"/>
              </w:rPr>
              <w:t>中国科学院过程工程研究所</w:t>
            </w:r>
          </w:p>
        </w:tc>
        <w:tc>
          <w:tcPr>
            <w:tcW w:w="1640" w:type="pct"/>
            <w:tcBorders>
              <w:top w:val="single" w:color="auto" w:sz="4" w:space="0"/>
              <w:left w:val="single" w:color="auto" w:sz="4" w:space="0"/>
              <w:bottom w:val="single" w:color="auto" w:sz="4" w:space="0"/>
              <w:right w:val="single" w:color="auto" w:sz="4" w:space="0"/>
            </w:tcBorders>
          </w:tcPr>
          <w:p w14:paraId="439E29D6">
            <w:pPr>
              <w:jc w:val="left"/>
              <w:rPr>
                <w:rFonts w:ascii="Times New Roman" w:hAnsi="Times New Roman" w:cs="Times New Roman"/>
                <w:bCs/>
                <w:sz w:val="24"/>
                <w:szCs w:val="24"/>
              </w:rPr>
            </w:pPr>
            <w:r>
              <w:rPr>
                <w:rFonts w:ascii="Times New Roman" w:hAnsi="Times New Roman" w:cs="Times New Roman"/>
                <w:bCs/>
                <w:sz w:val="24"/>
                <w:szCs w:val="24"/>
              </w:rPr>
              <w:t>作为项目的主要完成人，针对关键金属的萃取分离过程中存在关键装备设计放大、传质效率低等难题，开发了新型塔式萃取分离装备，并成功应用于锂铷铯等分离过程，对创新点2做出了重要贡献。</w:t>
            </w:r>
          </w:p>
        </w:tc>
      </w:tr>
      <w:tr w14:paraId="46E3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 w:type="pct"/>
            <w:tcBorders>
              <w:top w:val="single" w:color="auto" w:sz="4" w:space="0"/>
              <w:left w:val="single" w:color="auto" w:sz="4" w:space="0"/>
              <w:bottom w:val="single" w:color="auto" w:sz="4" w:space="0"/>
              <w:right w:val="single" w:color="auto" w:sz="4" w:space="0"/>
            </w:tcBorders>
          </w:tcPr>
          <w:p w14:paraId="590679F6">
            <w:pPr>
              <w:jc w:val="left"/>
              <w:rPr>
                <w:rFonts w:ascii="Times New Roman" w:hAnsi="Times New Roman" w:cs="Times New Roman"/>
                <w:bCs/>
                <w:sz w:val="24"/>
                <w:szCs w:val="24"/>
              </w:rPr>
            </w:pPr>
            <w:r>
              <w:rPr>
                <w:rFonts w:ascii="Times New Roman" w:hAnsi="Times New Roman" w:cs="Times New Roman"/>
                <w:bCs/>
                <w:sz w:val="24"/>
                <w:szCs w:val="24"/>
              </w:rPr>
              <w:t>10</w:t>
            </w:r>
          </w:p>
        </w:tc>
        <w:tc>
          <w:tcPr>
            <w:tcW w:w="625" w:type="pct"/>
            <w:tcBorders>
              <w:top w:val="single" w:color="auto" w:sz="4" w:space="0"/>
              <w:left w:val="single" w:color="auto" w:sz="4" w:space="0"/>
              <w:bottom w:val="single" w:color="auto" w:sz="4" w:space="0"/>
              <w:right w:val="single" w:color="auto" w:sz="4" w:space="0"/>
            </w:tcBorders>
          </w:tcPr>
          <w:p w14:paraId="6881C18F">
            <w:pPr>
              <w:jc w:val="left"/>
              <w:rPr>
                <w:rFonts w:ascii="Times New Roman" w:hAnsi="Times New Roman" w:cs="Times New Roman"/>
                <w:bCs/>
                <w:sz w:val="24"/>
                <w:szCs w:val="24"/>
              </w:rPr>
            </w:pPr>
            <w:r>
              <w:rPr>
                <w:rFonts w:ascii="Times New Roman" w:hAnsi="Times New Roman" w:cs="Times New Roman"/>
                <w:bCs/>
                <w:sz w:val="24"/>
                <w:szCs w:val="24"/>
              </w:rPr>
              <w:t>常卿卿</w:t>
            </w:r>
          </w:p>
        </w:tc>
        <w:tc>
          <w:tcPr>
            <w:tcW w:w="2265" w:type="pct"/>
            <w:tcBorders>
              <w:top w:val="single" w:color="auto" w:sz="4" w:space="0"/>
              <w:left w:val="single" w:color="auto" w:sz="4" w:space="0"/>
              <w:bottom w:val="single" w:color="auto" w:sz="4" w:space="0"/>
              <w:right w:val="single" w:color="auto" w:sz="4" w:space="0"/>
            </w:tcBorders>
          </w:tcPr>
          <w:p w14:paraId="54EB7A11">
            <w:pPr>
              <w:jc w:val="left"/>
              <w:rPr>
                <w:rFonts w:ascii="Times New Roman" w:hAnsi="Times New Roman" w:cs="Times New Roman"/>
                <w:bCs/>
                <w:sz w:val="24"/>
                <w:szCs w:val="24"/>
              </w:rPr>
            </w:pPr>
            <w:r>
              <w:rPr>
                <w:rFonts w:ascii="Times New Roman" w:hAnsi="Times New Roman" w:cs="Times New Roman"/>
                <w:bCs/>
                <w:sz w:val="24"/>
                <w:szCs w:val="24"/>
              </w:rPr>
              <w:t>中国科学院赣江创新研究院</w:t>
            </w:r>
          </w:p>
        </w:tc>
        <w:tc>
          <w:tcPr>
            <w:tcW w:w="1640" w:type="pct"/>
            <w:tcBorders>
              <w:top w:val="single" w:color="auto" w:sz="4" w:space="0"/>
              <w:left w:val="single" w:color="auto" w:sz="4" w:space="0"/>
              <w:bottom w:val="single" w:color="auto" w:sz="4" w:space="0"/>
              <w:right w:val="single" w:color="auto" w:sz="4" w:space="0"/>
            </w:tcBorders>
          </w:tcPr>
          <w:p w14:paraId="68B6C653">
            <w:pPr>
              <w:jc w:val="left"/>
              <w:rPr>
                <w:rFonts w:ascii="Times New Roman" w:hAnsi="Times New Roman" w:cs="Times New Roman"/>
                <w:bCs/>
                <w:sz w:val="24"/>
                <w:szCs w:val="24"/>
              </w:rPr>
            </w:pPr>
            <w:r>
              <w:rPr>
                <w:rFonts w:ascii="Times New Roman" w:hAnsi="Times New Roman" w:cs="Times New Roman"/>
                <w:bCs/>
                <w:sz w:val="24"/>
                <w:szCs w:val="24"/>
              </w:rPr>
              <w:t>作为项目的主要完成人，参与了高氟稀土冶炼过程深度脱氟技术的研发及其示范应用；参与了钕铁硼废料清洁高效循环利用技术并推进其产业化应用，对创新点1做出了重要贡献</w:t>
            </w:r>
          </w:p>
        </w:tc>
      </w:tr>
    </w:tbl>
    <w:p w14:paraId="3848E7AC">
      <w:pPr>
        <w:widowControl/>
        <w:jc w:val="left"/>
        <w:rPr>
          <w:rFonts w:hint="eastAsia" w:ascii="华文中宋" w:hAnsi="华文中宋" w:eastAsia="华文中宋" w:cs="Times New Roman"/>
          <w:b/>
          <w:sz w:val="44"/>
        </w:rPr>
      </w:pPr>
      <w:r>
        <w:rPr>
          <w:rFonts w:hint="eastAsia" w:ascii="Times New Roman" w:hAnsi="Times New Roman" w:eastAsia="仿宋_GB2312" w:cs="Times New Roman"/>
          <w:sz w:val="32"/>
          <w:szCs w:val="28"/>
        </w:rPr>
        <w:t>说明：公示内容须与推荐书相关部分一致。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E2ADB"/>
    <w:multiLevelType w:val="multilevel"/>
    <w:tmpl w:val="6F5E2ADB"/>
    <w:lvl w:ilvl="0" w:tentative="0">
      <w:start w:val="1"/>
      <w:numFmt w:val="decimal"/>
      <w:lvlText w:val="%1、"/>
      <w:lvlJc w:val="left"/>
      <w:pPr>
        <w:ind w:left="1350" w:hanging="720"/>
      </w:pPr>
      <w:rPr>
        <w:rFonts w:hint="default"/>
        <w:b/>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MTUwY2QwZWZmMjEwMmMxMDg0ZmUxYTJhMDljOTYifQ=="/>
  </w:docVars>
  <w:rsids>
    <w:rsidRoot w:val="00057E34"/>
    <w:rsid w:val="00007103"/>
    <w:rsid w:val="00010A77"/>
    <w:rsid w:val="0003710C"/>
    <w:rsid w:val="00057E34"/>
    <w:rsid w:val="00081150"/>
    <w:rsid w:val="0008325C"/>
    <w:rsid w:val="00095D84"/>
    <w:rsid w:val="000A4ED9"/>
    <w:rsid w:val="000D2444"/>
    <w:rsid w:val="000E0374"/>
    <w:rsid w:val="000E1FB0"/>
    <w:rsid w:val="00106707"/>
    <w:rsid w:val="00120BF8"/>
    <w:rsid w:val="00127C2B"/>
    <w:rsid w:val="00182B3E"/>
    <w:rsid w:val="001B00AF"/>
    <w:rsid w:val="001B3533"/>
    <w:rsid w:val="001C64AF"/>
    <w:rsid w:val="001C7346"/>
    <w:rsid w:val="001E0486"/>
    <w:rsid w:val="001F4770"/>
    <w:rsid w:val="002A1743"/>
    <w:rsid w:val="003117A8"/>
    <w:rsid w:val="003E48E0"/>
    <w:rsid w:val="0043473D"/>
    <w:rsid w:val="00442B1C"/>
    <w:rsid w:val="00474EBB"/>
    <w:rsid w:val="00476A9D"/>
    <w:rsid w:val="00481C16"/>
    <w:rsid w:val="0052607B"/>
    <w:rsid w:val="005264DC"/>
    <w:rsid w:val="00691E18"/>
    <w:rsid w:val="007258A4"/>
    <w:rsid w:val="00757146"/>
    <w:rsid w:val="007C63F9"/>
    <w:rsid w:val="008564E2"/>
    <w:rsid w:val="008A5FAD"/>
    <w:rsid w:val="00973791"/>
    <w:rsid w:val="009E3279"/>
    <w:rsid w:val="00A215DF"/>
    <w:rsid w:val="00A9033D"/>
    <w:rsid w:val="00A96349"/>
    <w:rsid w:val="00AA2C21"/>
    <w:rsid w:val="00AC28B8"/>
    <w:rsid w:val="00AC40C2"/>
    <w:rsid w:val="00AC4AE6"/>
    <w:rsid w:val="00AD4093"/>
    <w:rsid w:val="00B063DF"/>
    <w:rsid w:val="00B23938"/>
    <w:rsid w:val="00B25E5A"/>
    <w:rsid w:val="00B30787"/>
    <w:rsid w:val="00B94AD6"/>
    <w:rsid w:val="00BE0818"/>
    <w:rsid w:val="00BE5BB9"/>
    <w:rsid w:val="00C955F1"/>
    <w:rsid w:val="00CB193A"/>
    <w:rsid w:val="00CE6B01"/>
    <w:rsid w:val="00D8292B"/>
    <w:rsid w:val="00D87670"/>
    <w:rsid w:val="00DD612C"/>
    <w:rsid w:val="00E32C6C"/>
    <w:rsid w:val="00E47BB9"/>
    <w:rsid w:val="00E55E8D"/>
    <w:rsid w:val="00E56D5E"/>
    <w:rsid w:val="00E61B35"/>
    <w:rsid w:val="00E74E53"/>
    <w:rsid w:val="00E86347"/>
    <w:rsid w:val="00F56186"/>
    <w:rsid w:val="6E0561F9"/>
    <w:rsid w:val="7F7772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引用1"/>
    <w:basedOn w:val="1"/>
    <w:next w:val="1"/>
    <w:link w:val="12"/>
    <w:qFormat/>
    <w:uiPriority w:val="99"/>
    <w:rPr>
      <w:rFonts w:ascii="Times New Roman" w:hAnsi="Times New Roman" w:eastAsia="宋体" w:cs="Times New Roman"/>
      <w:i/>
      <w:color w:val="000000"/>
      <w:kern w:val="0"/>
      <w:szCs w:val="20"/>
    </w:rPr>
  </w:style>
  <w:style w:type="character" w:customStyle="1" w:styleId="12">
    <w:name w:val="Quote Char"/>
    <w:link w:val="11"/>
    <w:qFormat/>
    <w:locked/>
    <w:uiPriority w:val="99"/>
    <w:rPr>
      <w:rFonts w:ascii="Times New Roman" w:hAnsi="Times New Roman" w:eastAsia="宋体" w:cs="Times New Roman"/>
      <w:i/>
      <w:color w:val="000000"/>
      <w:kern w:val="0"/>
      <w:szCs w:val="20"/>
    </w:rPr>
  </w:style>
  <w:style w:type="character" w:customStyle="1" w:styleId="13">
    <w:name w:val="批注框文本 字符"/>
    <w:basedOn w:val="8"/>
    <w:link w:val="3"/>
    <w:semiHidden/>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99"/>
    <w:pPr>
      <w:ind w:firstLine="420" w:firstLineChars="200"/>
    </w:pPr>
  </w:style>
  <w:style w:type="character" w:customStyle="1" w:styleId="16">
    <w:name w:val="纯文本 字符"/>
    <w:basedOn w:val="8"/>
    <w:link w:val="2"/>
    <w:qFormat/>
    <w:uiPriority w:val="0"/>
    <w:rPr>
      <w:rFonts w:ascii="仿宋_GB2312" w:hAnsi="Times New Roman" w:eastAsia="宋体" w:cs="Times New Roman"/>
      <w:kern w:val="2"/>
      <w:sz w:val="24"/>
    </w:rPr>
  </w:style>
  <w:style w:type="paragraph" w:customStyle="1" w:styleId="17">
    <w:name w:val="_Style 8"/>
    <w:basedOn w:val="1"/>
    <w:next w:val="1"/>
    <w:qFormat/>
    <w:uiPriority w:val="0"/>
    <w:pPr>
      <w:spacing w:line="360" w:lineRule="auto"/>
      <w:ind w:firstLine="480" w:firstLineChars="200"/>
    </w:pPr>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8E41F7B6A0C24F94BC9591B929C4E45B_13</vt:lpwstr>
  </property>
</Properties>
</file>

<file path=customXml/itemProps1.xml><?xml version="1.0" encoding="utf-8"?>
<ds:datastoreItem xmlns:ds="http://schemas.openxmlformats.org/officeDocument/2006/customXml" ds:itemID="{0F4664EF-672E-4FA7-98CC-60151F978310}">
  <ds:schemaRefs/>
</ds:datastoreItem>
</file>

<file path=customXml/itemProps2.xml><?xml version="1.0" encoding="utf-8"?>
<ds:datastoreItem xmlns:ds="http://schemas.openxmlformats.org/officeDocument/2006/customXml" ds:itemID="{588A44C5-C6C3-48AA-92E7-3C53311070A6}">
  <ds:schemaRefs/>
</ds:datastoreItem>
</file>

<file path=docProps/app.xml><?xml version="1.0" encoding="utf-8"?>
<Properties xmlns="http://schemas.openxmlformats.org/officeDocument/2006/extended-properties" xmlns:vt="http://schemas.openxmlformats.org/officeDocument/2006/docPropsVTypes">
  <Template>Normal</Template>
  <Pages>5</Pages>
  <Words>2619</Words>
  <Characters>3198</Characters>
  <Lines>24</Lines>
  <Paragraphs>6</Paragraphs>
  <TotalTime>0</TotalTime>
  <ScaleCrop>false</ScaleCrop>
  <LinksUpToDate>false</LinksUpToDate>
  <CharactersWithSpaces>3259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2025-10-09T08:36:00Z</dcterms:created>
  <dc:creator>周长海</dc:creator>
  <cp:lastModifiedBy>ymq</cp:lastModifiedBy>
  <cp:lastPrinted>2025-10-09T08:29:00Z</cp:lastPrinted>
  <dcterms:modified xsi:type="dcterms:W3CDTF">2025-10-09T08:51:39Z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4D0FC15E6512453D90FFFCC04DB0BC3B_13</vt:lpwstr>
  </property>
  <property fmtid="{D5CDD505-2E9C-101B-9397-08002B2CF9AE}" pid="4" name="KSOTemplateDocerSaveRecord">
    <vt:lpwstr>eyJoZGlkIjoiMjhiZmQzY2EzNGY1YjZjMGNhODhiYTU2MzAwODQyODAiLCJ1c2VySWQiOiI2NjUwOTM0NDgifQ==</vt:lpwstr>
  </property>
</Properties>
</file>